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467EE" w:rsidRDefault="003E0011">
      <w:pPr>
        <w:spacing w:after="0"/>
        <w:jc w:val="center"/>
        <w:rPr>
          <w:b/>
          <w:sz w:val="28"/>
          <w:szCs w:val="28"/>
        </w:rPr>
      </w:pPr>
      <w:bookmarkStart w:id="0" w:name="_GoBack"/>
      <w:bookmarkEnd w:id="0"/>
      <w:r>
        <w:rPr>
          <w:b/>
          <w:sz w:val="28"/>
          <w:szCs w:val="28"/>
        </w:rPr>
        <w:t>SINTESI DOCUMENTO PROGETTUALE</w:t>
      </w:r>
    </w:p>
    <w:p w14:paraId="00000002" w14:textId="77777777" w:rsidR="00D467EE" w:rsidRDefault="00D467EE">
      <w:pPr>
        <w:spacing w:after="0"/>
        <w:jc w:val="center"/>
        <w:rPr>
          <w:b/>
          <w:color w:val="1F497D"/>
        </w:rPr>
      </w:pPr>
    </w:p>
    <w:p w14:paraId="00000003" w14:textId="77777777" w:rsidR="00D467EE" w:rsidRDefault="00D467EE">
      <w:pPr>
        <w:spacing w:after="0"/>
        <w:jc w:val="both"/>
        <w:rPr>
          <w:b/>
        </w:rPr>
      </w:pPr>
    </w:p>
    <w:p w14:paraId="00000004" w14:textId="77777777" w:rsidR="00D467EE" w:rsidRDefault="003E0011">
      <w:pPr>
        <w:spacing w:after="0"/>
        <w:jc w:val="both"/>
        <w:rPr>
          <w:b/>
          <w:u w:val="single"/>
        </w:rPr>
      </w:pPr>
      <w:r>
        <w:rPr>
          <w:b/>
        </w:rPr>
        <w:t>PREMESSA</w:t>
      </w:r>
    </w:p>
    <w:p w14:paraId="00000005" w14:textId="77777777" w:rsidR="00D467EE" w:rsidRDefault="003E0011">
      <w:pPr>
        <w:spacing w:after="0"/>
        <w:jc w:val="both"/>
      </w:pPr>
      <w:r>
        <w:t xml:space="preserve">Con i bandi </w:t>
      </w:r>
      <w:hyperlink r:id="rId11">
        <w:r>
          <w:rPr>
            <w:color w:val="1F497D"/>
            <w:u w:val="single"/>
          </w:rPr>
          <w:t>POT</w:t>
        </w:r>
      </w:hyperlink>
      <w:r>
        <w:t xml:space="preserve"> e </w:t>
      </w:r>
      <w:hyperlink r:id="rId12">
        <w:r>
          <w:rPr>
            <w:color w:val="1F497D"/>
            <w:u w:val="single"/>
          </w:rPr>
          <w:t>PLS</w:t>
        </w:r>
      </w:hyperlink>
      <w:r>
        <w:t xml:space="preserve"> il MIUR ha chiesto alle Università di progettare e realizzare specifiche attività che sostengano le giovani e i giovani diplomati nella scelta del corso di laurea e nel primo periodo di studio universitario, al fine di:</w:t>
      </w:r>
    </w:p>
    <w:p w14:paraId="00000006" w14:textId="77777777" w:rsidR="00D467EE" w:rsidRDefault="00D467EE">
      <w:pPr>
        <w:spacing w:after="0"/>
        <w:jc w:val="both"/>
      </w:pPr>
    </w:p>
    <w:p w14:paraId="00000007" w14:textId="77777777" w:rsidR="00D467EE" w:rsidRDefault="003E0011">
      <w:pPr>
        <w:numPr>
          <w:ilvl w:val="0"/>
          <w:numId w:val="2"/>
        </w:numPr>
        <w:pBdr>
          <w:top w:val="nil"/>
          <w:left w:val="nil"/>
          <w:bottom w:val="nil"/>
          <w:right w:val="nil"/>
          <w:between w:val="nil"/>
        </w:pBdr>
        <w:spacing w:after="0"/>
        <w:jc w:val="both"/>
      </w:pPr>
      <w:r>
        <w:rPr>
          <w:color w:val="000000"/>
        </w:rPr>
        <w:t>aumentare la propensione a iscriversi all’università;</w:t>
      </w:r>
    </w:p>
    <w:p w14:paraId="00000008" w14:textId="77777777" w:rsidR="00D467EE" w:rsidRDefault="003E0011">
      <w:pPr>
        <w:numPr>
          <w:ilvl w:val="0"/>
          <w:numId w:val="2"/>
        </w:numPr>
        <w:pBdr>
          <w:top w:val="nil"/>
          <w:left w:val="nil"/>
          <w:bottom w:val="nil"/>
          <w:right w:val="nil"/>
          <w:between w:val="nil"/>
        </w:pBdr>
        <w:spacing w:after="0"/>
        <w:jc w:val="both"/>
      </w:pPr>
      <w:r>
        <w:rPr>
          <w:color w:val="000000"/>
        </w:rPr>
        <w:t>ridurre il tasso di abbandono;</w:t>
      </w:r>
    </w:p>
    <w:p w14:paraId="00000009" w14:textId="77777777" w:rsidR="00D467EE" w:rsidRDefault="003E0011">
      <w:pPr>
        <w:numPr>
          <w:ilvl w:val="0"/>
          <w:numId w:val="2"/>
        </w:numPr>
        <w:pBdr>
          <w:top w:val="nil"/>
          <w:left w:val="nil"/>
          <w:bottom w:val="nil"/>
          <w:right w:val="nil"/>
          <w:between w:val="nil"/>
        </w:pBdr>
        <w:spacing w:after="0"/>
        <w:jc w:val="both"/>
      </w:pPr>
      <w:r>
        <w:rPr>
          <w:color w:val="000000"/>
        </w:rPr>
        <w:t>aumentare il numero delle studentesse e degli studenti che completano con successo gli studi entro i tempi previsti.</w:t>
      </w:r>
    </w:p>
    <w:p w14:paraId="0000000A" w14:textId="77777777" w:rsidR="00D467EE" w:rsidRDefault="00D467EE">
      <w:pPr>
        <w:spacing w:after="0"/>
        <w:jc w:val="both"/>
      </w:pPr>
    </w:p>
    <w:p w14:paraId="0000000B" w14:textId="063BF03B" w:rsidR="00D467EE" w:rsidRDefault="003E0011">
      <w:pPr>
        <w:spacing w:after="0"/>
        <w:jc w:val="both"/>
      </w:pPr>
      <w:r>
        <w:t xml:space="preserve">Il </w:t>
      </w:r>
      <w:hyperlink r:id="rId13">
        <w:r>
          <w:rPr>
            <w:color w:val="1F497D"/>
            <w:u w:val="single"/>
          </w:rPr>
          <w:t>CISIA</w:t>
        </w:r>
      </w:hyperlink>
      <w:r>
        <w:t xml:space="preserve"> è un consorzio senza scopo di lucro, costituito da 48 atenei statali, impegnato prevalentemente sul fronte dell'orientamento e dell'accesso universitario, anche attraverso  lo sviluppo di strumenti per il recupero delle carenze formative in ingresso. In particolare, la collaborazione tra il  CISIA e le comunità scientifiche ha portato a individuare le conoscenze di base richieste per l’accesso ai diversi corsi di studio, a definire i sillabi delle prove standard (TOLC) per l’ingresso, suddivise per gruppi omogenei di corsi di laurea, e a costruire un complesso sistema organizzativo in grado di erogare ogni anno un numero crescente di prove, più di 140 mila nel 2018 e una stima di circa 180mila nel 2019.</w:t>
      </w:r>
    </w:p>
    <w:p w14:paraId="0000000C" w14:textId="77777777" w:rsidR="00D467EE" w:rsidRDefault="00D467EE">
      <w:pPr>
        <w:spacing w:after="0"/>
        <w:jc w:val="both"/>
      </w:pPr>
    </w:p>
    <w:p w14:paraId="0000000D" w14:textId="77777777" w:rsidR="00D467EE" w:rsidRDefault="003E0011">
      <w:pPr>
        <w:spacing w:after="0"/>
        <w:jc w:val="both"/>
      </w:pPr>
      <w:r>
        <w:t>Tali prove sono oggetto di continue analisi scientifiche, di valutazione e di periodico aggiornamento. I dati relativi alle risposte date dagli studenti ai test contengono informazioni potenzialmente assai utili  per gli studenti stessi, per le scuole e per gli atenei, al fine di prendere decisioni sulle attività necessarie per ottenere gli obiettivi di apprendimento voluti.</w:t>
      </w:r>
    </w:p>
    <w:p w14:paraId="0000000E" w14:textId="77777777" w:rsidR="00D467EE" w:rsidRDefault="00D467EE">
      <w:pPr>
        <w:spacing w:after="0"/>
        <w:jc w:val="both"/>
      </w:pPr>
    </w:p>
    <w:p w14:paraId="0000000F" w14:textId="77777777" w:rsidR="00D467EE" w:rsidRDefault="003E0011">
      <w:pPr>
        <w:spacing w:after="0"/>
        <w:jc w:val="both"/>
      </w:pPr>
      <w:r>
        <w:t>Molti dei progetti PLS e POT prevedono una collaborazione con CISIA per realizzare strumenti e azioni in tema di orientamento e supporto al tutorato, in particolare:</w:t>
      </w:r>
    </w:p>
    <w:p w14:paraId="00000010" w14:textId="77777777" w:rsidR="00D467EE" w:rsidRDefault="00D467EE">
      <w:pPr>
        <w:spacing w:after="0"/>
        <w:jc w:val="both"/>
      </w:pPr>
    </w:p>
    <w:p w14:paraId="00000011" w14:textId="77777777" w:rsidR="00D467EE" w:rsidRDefault="003E0011">
      <w:pPr>
        <w:numPr>
          <w:ilvl w:val="0"/>
          <w:numId w:val="3"/>
        </w:numPr>
        <w:pBdr>
          <w:top w:val="nil"/>
          <w:left w:val="nil"/>
          <w:bottom w:val="nil"/>
          <w:right w:val="nil"/>
          <w:between w:val="nil"/>
        </w:pBdr>
        <w:spacing w:after="0"/>
        <w:jc w:val="both"/>
      </w:pPr>
      <w:r>
        <w:rPr>
          <w:color w:val="000000"/>
        </w:rPr>
        <w:t>strumenti per la realizzazione di attività di orientamento e autovalutazione svolte nelle scuole con la collaborazione degli atenei;</w:t>
      </w:r>
    </w:p>
    <w:p w14:paraId="00000012" w14:textId="77777777" w:rsidR="00D467EE" w:rsidRDefault="00D467EE">
      <w:pPr>
        <w:pBdr>
          <w:top w:val="nil"/>
          <w:left w:val="nil"/>
          <w:bottom w:val="nil"/>
          <w:right w:val="nil"/>
          <w:between w:val="nil"/>
        </w:pBdr>
        <w:spacing w:after="0"/>
        <w:ind w:left="720" w:hanging="720"/>
        <w:jc w:val="both"/>
        <w:rPr>
          <w:color w:val="000000"/>
        </w:rPr>
      </w:pPr>
    </w:p>
    <w:p w14:paraId="00000013" w14:textId="77777777" w:rsidR="00D467EE" w:rsidRDefault="003E0011">
      <w:pPr>
        <w:numPr>
          <w:ilvl w:val="0"/>
          <w:numId w:val="3"/>
        </w:numPr>
        <w:pBdr>
          <w:top w:val="nil"/>
          <w:left w:val="nil"/>
          <w:bottom w:val="nil"/>
          <w:right w:val="nil"/>
          <w:between w:val="nil"/>
        </w:pBdr>
        <w:spacing w:after="0"/>
        <w:jc w:val="both"/>
      </w:pPr>
      <w:r>
        <w:rPr>
          <w:color w:val="000000"/>
        </w:rPr>
        <w:t>strumenti che consentano agli studenti, alle scuole e ai corsi di laurea di avere ciascuno dati e informazioni, ad esempio sui livelli di conoscenza e competenza di singoli studenti o di gruppi opportunamente aggregati, sulla base dei quali prendere decisioni su eventuali interventi e azioni da fare.</w:t>
      </w:r>
    </w:p>
    <w:p w14:paraId="00000014" w14:textId="77777777" w:rsidR="00D467EE" w:rsidRDefault="00D467EE">
      <w:pPr>
        <w:spacing w:after="0"/>
        <w:jc w:val="both"/>
      </w:pPr>
    </w:p>
    <w:p w14:paraId="00000015" w14:textId="73892FCB" w:rsidR="00D467EE" w:rsidRDefault="003E0011">
      <w:pPr>
        <w:spacing w:after="0"/>
        <w:jc w:val="both"/>
      </w:pPr>
      <w:r>
        <w:t xml:space="preserve">Si è colta l’opportunità di realizzare un piano  trasversale, comune a tutti i progetti, di strumenti e di azioni del tipo sopra indicato, che sostengano tutti i progetti e gli atenei interessati: a partire dal 13 novembre 2018 si è sviluppato un impegnativo lavoro di condivisione e di progettazione partecipata, che ha avuto in particolare la collaborazione e la supervisione di tutti i coordinatori nazionali dei progetti POT e PLS coinvolti. </w:t>
      </w:r>
    </w:p>
    <w:p w14:paraId="00000016" w14:textId="77777777" w:rsidR="00D467EE" w:rsidRDefault="00D467EE">
      <w:pPr>
        <w:spacing w:after="0"/>
        <w:jc w:val="both"/>
      </w:pPr>
    </w:p>
    <w:p w14:paraId="00000017" w14:textId="77777777" w:rsidR="00D467EE" w:rsidRDefault="003E0011">
      <w:pPr>
        <w:spacing w:after="0"/>
        <w:jc w:val="both"/>
      </w:pPr>
      <w:r>
        <w:lastRenderedPageBreak/>
        <w:t xml:space="preserve">Da questo lavoro è nato il documento progettuale </w:t>
      </w:r>
      <w:hyperlink r:id="rId14">
        <w:r>
          <w:rPr>
            <w:color w:val="1F497D"/>
            <w:u w:val="single"/>
          </w:rPr>
          <w:t>“GLI STRUMENTI CISIA A SUPPORTO DEI PIANI PER L’ORIENTAMENTO E IL TUTORATO (POT) E DEL PIANO LAUREE SCIENTIFICHE (PLS)”</w:t>
        </w:r>
      </w:hyperlink>
      <w:r>
        <w:t xml:space="preserve"> al quale si fa riferimento per una descrizione completa degli obiettivi e delle linee di progetto.</w:t>
      </w:r>
    </w:p>
    <w:p w14:paraId="00000018" w14:textId="77777777" w:rsidR="00D467EE" w:rsidRDefault="003E0011">
      <w:pPr>
        <w:spacing w:after="0"/>
        <w:jc w:val="both"/>
      </w:pPr>
      <w:r>
        <w:rPr>
          <w:b/>
        </w:rPr>
        <w:t>SINTESI DEGLI OBIETTIVI DEL PROGETTO</w:t>
      </w:r>
    </w:p>
    <w:p w14:paraId="00000019" w14:textId="77777777" w:rsidR="00D467EE" w:rsidRDefault="00D467EE">
      <w:pPr>
        <w:spacing w:after="0"/>
      </w:pPr>
    </w:p>
    <w:p w14:paraId="0000001A" w14:textId="70FB77E7" w:rsidR="00D467EE" w:rsidRDefault="003E0011">
      <w:pPr>
        <w:spacing w:after="0"/>
        <w:jc w:val="both"/>
      </w:pPr>
      <w:r>
        <w:rPr>
          <w:b/>
        </w:rPr>
        <w:t>A. Costruzione di specifici strumenti per l’autovalutazione e l’apprendimento delle conoscenze richieste per l’ingresso ai corsi di laurea</w:t>
      </w:r>
      <w:r>
        <w:t>, utilizzabili dagli studenti nell’ambito delle attività POT e PLS o  anche in modo autonomo. Tali strumenti sono organizzati per aree disciplinari trasversali rispetto ai progetti POT e PLS, nonché rispetto alle prove standard TOLC. Le aree sono le seguenti:</w:t>
      </w:r>
    </w:p>
    <w:p w14:paraId="0000001B" w14:textId="77777777" w:rsidR="00D467EE" w:rsidRDefault="003E0011">
      <w:pPr>
        <w:numPr>
          <w:ilvl w:val="0"/>
          <w:numId w:val="1"/>
        </w:numPr>
        <w:pBdr>
          <w:top w:val="nil"/>
          <w:left w:val="nil"/>
          <w:bottom w:val="nil"/>
          <w:right w:val="nil"/>
          <w:between w:val="nil"/>
        </w:pBdr>
        <w:spacing w:after="0"/>
        <w:jc w:val="both"/>
      </w:pPr>
      <w:r>
        <w:rPr>
          <w:color w:val="000000"/>
        </w:rPr>
        <w:t>matematica</w:t>
      </w:r>
    </w:p>
    <w:p w14:paraId="0000001C" w14:textId="77777777" w:rsidR="00D467EE" w:rsidRDefault="003E0011">
      <w:pPr>
        <w:numPr>
          <w:ilvl w:val="0"/>
          <w:numId w:val="1"/>
        </w:numPr>
        <w:pBdr>
          <w:top w:val="nil"/>
          <w:left w:val="nil"/>
          <w:bottom w:val="nil"/>
          <w:right w:val="nil"/>
          <w:between w:val="nil"/>
        </w:pBdr>
        <w:spacing w:after="0"/>
        <w:jc w:val="both"/>
      </w:pPr>
      <w:r>
        <w:rPr>
          <w:color w:val="000000"/>
        </w:rPr>
        <w:t xml:space="preserve">scienze fisiche </w:t>
      </w:r>
    </w:p>
    <w:p w14:paraId="0000001D" w14:textId="77777777" w:rsidR="00D467EE" w:rsidRDefault="003E0011">
      <w:pPr>
        <w:numPr>
          <w:ilvl w:val="0"/>
          <w:numId w:val="1"/>
        </w:numPr>
        <w:pBdr>
          <w:top w:val="nil"/>
          <w:left w:val="nil"/>
          <w:bottom w:val="nil"/>
          <w:right w:val="nil"/>
          <w:between w:val="nil"/>
        </w:pBdr>
        <w:spacing w:after="0"/>
        <w:jc w:val="both"/>
      </w:pPr>
      <w:r>
        <w:rPr>
          <w:color w:val="000000"/>
        </w:rPr>
        <w:t xml:space="preserve">scienze chimiche </w:t>
      </w:r>
    </w:p>
    <w:p w14:paraId="0000001E" w14:textId="77777777" w:rsidR="00D467EE" w:rsidRDefault="003E0011">
      <w:pPr>
        <w:numPr>
          <w:ilvl w:val="0"/>
          <w:numId w:val="1"/>
        </w:numPr>
        <w:pBdr>
          <w:top w:val="nil"/>
          <w:left w:val="nil"/>
          <w:bottom w:val="nil"/>
          <w:right w:val="nil"/>
          <w:between w:val="nil"/>
        </w:pBdr>
        <w:spacing w:after="0"/>
        <w:jc w:val="both"/>
      </w:pPr>
      <w:r>
        <w:rPr>
          <w:color w:val="000000"/>
        </w:rPr>
        <w:t>biologia</w:t>
      </w:r>
    </w:p>
    <w:p w14:paraId="0000001F" w14:textId="77777777" w:rsidR="00D467EE" w:rsidRDefault="003E0011">
      <w:pPr>
        <w:numPr>
          <w:ilvl w:val="0"/>
          <w:numId w:val="1"/>
        </w:numPr>
        <w:pBdr>
          <w:top w:val="nil"/>
          <w:left w:val="nil"/>
          <w:bottom w:val="nil"/>
          <w:right w:val="nil"/>
          <w:between w:val="nil"/>
        </w:pBdr>
        <w:spacing w:after="0"/>
        <w:jc w:val="both"/>
      </w:pPr>
      <w:r>
        <w:rPr>
          <w:color w:val="000000"/>
        </w:rPr>
        <w:t xml:space="preserve">logica, ragionamento, problemi </w:t>
      </w:r>
    </w:p>
    <w:p w14:paraId="00000020" w14:textId="77777777" w:rsidR="00D467EE" w:rsidRDefault="003E0011">
      <w:pPr>
        <w:numPr>
          <w:ilvl w:val="0"/>
          <w:numId w:val="1"/>
        </w:numPr>
        <w:pBdr>
          <w:top w:val="nil"/>
          <w:left w:val="nil"/>
          <w:bottom w:val="nil"/>
          <w:right w:val="nil"/>
          <w:between w:val="nil"/>
        </w:pBdr>
        <w:spacing w:after="0"/>
        <w:jc w:val="both"/>
      </w:pPr>
      <w:r>
        <w:rPr>
          <w:color w:val="000000"/>
        </w:rPr>
        <w:t xml:space="preserve">analisi e comprensione dei testi e conoscenza della lingua italiana </w:t>
      </w:r>
    </w:p>
    <w:p w14:paraId="00000021" w14:textId="77777777" w:rsidR="00D467EE" w:rsidRDefault="00D467EE">
      <w:pPr>
        <w:spacing w:after="0"/>
        <w:jc w:val="both"/>
      </w:pPr>
    </w:p>
    <w:p w14:paraId="00000022" w14:textId="7A33CE2D" w:rsidR="00D467EE" w:rsidRDefault="003E0011">
      <w:pPr>
        <w:spacing w:after="0"/>
        <w:jc w:val="both"/>
      </w:pPr>
      <w:r>
        <w:t xml:space="preserve">Per ciascuna area, a regime, i materiali comprenderanno: </w:t>
      </w:r>
    </w:p>
    <w:p w14:paraId="00000023" w14:textId="77777777" w:rsidR="00D467EE" w:rsidRDefault="003E0011">
      <w:pPr>
        <w:numPr>
          <w:ilvl w:val="0"/>
          <w:numId w:val="4"/>
        </w:numPr>
        <w:pBdr>
          <w:top w:val="nil"/>
          <w:left w:val="nil"/>
          <w:bottom w:val="nil"/>
          <w:right w:val="nil"/>
          <w:between w:val="nil"/>
        </w:pBdr>
        <w:spacing w:after="0"/>
        <w:jc w:val="both"/>
        <w:rPr>
          <w:color w:val="000000"/>
        </w:rPr>
      </w:pPr>
      <w:r>
        <w:rPr>
          <w:color w:val="000000"/>
        </w:rPr>
        <w:t>un quadro di riferimento delle conoscenze e delle competenze richieste per l’ingresso ai corsi di laurea in cui si collocano e si collegano i sillabi delle sezioni che si riferiscono all’area;</w:t>
      </w:r>
    </w:p>
    <w:p w14:paraId="00000024" w14:textId="77777777" w:rsidR="00D467EE" w:rsidRDefault="003E0011">
      <w:pPr>
        <w:numPr>
          <w:ilvl w:val="0"/>
          <w:numId w:val="4"/>
        </w:numPr>
        <w:pBdr>
          <w:top w:val="nil"/>
          <w:left w:val="nil"/>
          <w:bottom w:val="nil"/>
          <w:right w:val="nil"/>
          <w:between w:val="nil"/>
        </w:pBdr>
        <w:spacing w:after="0"/>
        <w:jc w:val="both"/>
        <w:rPr>
          <w:color w:val="000000"/>
        </w:rPr>
      </w:pPr>
      <w:bookmarkStart w:id="1" w:name="_gjdgxs" w:colFirst="0" w:colLast="0"/>
      <w:bookmarkEnd w:id="1"/>
      <w:r>
        <w:rPr>
          <w:color w:val="000000"/>
        </w:rPr>
        <w:t>MOOC per ciascuna delle aree;</w:t>
      </w:r>
    </w:p>
    <w:p w14:paraId="00000025" w14:textId="77777777" w:rsidR="00D467EE" w:rsidRDefault="003E0011">
      <w:pPr>
        <w:numPr>
          <w:ilvl w:val="0"/>
          <w:numId w:val="4"/>
        </w:numPr>
        <w:pBdr>
          <w:top w:val="nil"/>
          <w:left w:val="nil"/>
          <w:bottom w:val="nil"/>
          <w:right w:val="nil"/>
          <w:between w:val="nil"/>
        </w:pBdr>
        <w:spacing w:after="0"/>
        <w:jc w:val="both"/>
        <w:rPr>
          <w:color w:val="000000"/>
        </w:rPr>
      </w:pPr>
      <w:r>
        <w:rPr>
          <w:color w:val="000000"/>
        </w:rPr>
        <w:t>prove di autovalutazione e prove diagnostiche per ciascuna delle aree;</w:t>
      </w:r>
    </w:p>
    <w:p w14:paraId="00000026" w14:textId="77777777" w:rsidR="00D467EE" w:rsidRDefault="003E0011">
      <w:pPr>
        <w:numPr>
          <w:ilvl w:val="0"/>
          <w:numId w:val="4"/>
        </w:numPr>
        <w:pBdr>
          <w:top w:val="nil"/>
          <w:left w:val="nil"/>
          <w:bottom w:val="nil"/>
          <w:right w:val="nil"/>
          <w:between w:val="nil"/>
        </w:pBdr>
        <w:spacing w:after="0"/>
        <w:jc w:val="both"/>
        <w:rPr>
          <w:color w:val="000000"/>
        </w:rPr>
      </w:pPr>
      <w:r>
        <w:rPr>
          <w:color w:val="000000"/>
        </w:rPr>
        <w:t>materiali interattivi on-line che consentano allo studente di svolgere percorsi di autovalutazione e apprendimento in modo autonomo o guidato;</w:t>
      </w:r>
    </w:p>
    <w:p w14:paraId="00000027" w14:textId="77777777" w:rsidR="00D467EE" w:rsidRDefault="003E0011">
      <w:pPr>
        <w:numPr>
          <w:ilvl w:val="0"/>
          <w:numId w:val="4"/>
        </w:numPr>
        <w:pBdr>
          <w:top w:val="nil"/>
          <w:left w:val="nil"/>
          <w:bottom w:val="nil"/>
          <w:right w:val="nil"/>
          <w:between w:val="nil"/>
        </w:pBdr>
        <w:spacing w:after="0"/>
        <w:jc w:val="both"/>
      </w:pPr>
      <w:r>
        <w:rPr>
          <w:color w:val="000000"/>
        </w:rPr>
        <w:t>quesiti ed esercizi risolti e commentati che aiutino gli studenti ad analizzare e a superare le difficoltà incontrate e a comprendere le conoscenze e competenze richieste e il significato dei sillabi, con link diretti ai relativi argomenti contenuti nei MOOC (è già disponibile il MOOC di Matematica di Base);</w:t>
      </w:r>
    </w:p>
    <w:p w14:paraId="00000028" w14:textId="77777777" w:rsidR="00D467EE" w:rsidRDefault="003E0011">
      <w:pPr>
        <w:numPr>
          <w:ilvl w:val="0"/>
          <w:numId w:val="4"/>
        </w:numPr>
        <w:pBdr>
          <w:top w:val="nil"/>
          <w:left w:val="nil"/>
          <w:bottom w:val="nil"/>
          <w:right w:val="nil"/>
          <w:between w:val="nil"/>
        </w:pBdr>
        <w:spacing w:after="0"/>
        <w:jc w:val="both"/>
      </w:pPr>
      <w:r>
        <w:rPr>
          <w:color w:val="000000"/>
        </w:rPr>
        <w:t>percorsi di autovalutazione delle capacità di comprendere testi disciplinari e di apprendere in situazioni simili a quelle che si possono incontrare all’inizio dei corsi universitari.</w:t>
      </w:r>
    </w:p>
    <w:p w14:paraId="00000029" w14:textId="77777777" w:rsidR="00D467EE" w:rsidRDefault="00D467EE">
      <w:pPr>
        <w:spacing w:after="0"/>
        <w:jc w:val="both"/>
      </w:pPr>
    </w:p>
    <w:p w14:paraId="0000002A" w14:textId="30799EE4" w:rsidR="00D467EE" w:rsidRDefault="003E0011">
      <w:pPr>
        <w:spacing w:after="0"/>
        <w:jc w:val="both"/>
        <w:rPr>
          <w:b/>
        </w:rPr>
      </w:pPr>
      <w:r>
        <w:rPr>
          <w:b/>
        </w:rPr>
        <w:t>B. Creazione di prove calibrate per il posizionamento [PPS] degli studenti in relazione alle  TOLC rispetto a opportune popolazioni di riferimento.</w:t>
      </w:r>
    </w:p>
    <w:p w14:paraId="0000002B" w14:textId="77777777" w:rsidR="00D467EE" w:rsidRDefault="003E0011">
      <w:pPr>
        <w:spacing w:after="0"/>
        <w:jc w:val="both"/>
      </w:pPr>
      <w:r>
        <w:t xml:space="preserve">Una prova di posizionamento [PPS] per un certo test TOLC è una prova che ha struttura identica e difficoltà analoga a quelle delle prove che vengono somministrate in quel tipo di TOLC. Chi sostiene una prova di posizionamento può confrontare i punteggi che ha ottenuto nelle diverse sezioni con quelli che sono stati ottenuti nello stesso tipo di TOLC da opportune popolazioni di riferimento; in questo modo riceve un’indicazione sul livello della propria preparazione. </w:t>
      </w:r>
    </w:p>
    <w:p w14:paraId="0000002C" w14:textId="77777777" w:rsidR="00D467EE" w:rsidRDefault="003E0011">
      <w:pPr>
        <w:spacing w:after="0"/>
        <w:jc w:val="both"/>
      </w:pPr>
      <w:r>
        <w:t>In una prima versione a utilizzo libero, le PPS saranno disponibili entro il mese di ottobre 2019 nell’area Esercitazioni del portale CISIA Test TOLC. Dall’anno scolastico 2020-2021 le prove di posizionamento si svolgeranno in modo regolato nell’ambito delle attività POT PLS sul nuovo portale Università Scuole. In particolare sarà scoraggiato l’uso delle prove di posizionamento come modalità acritica di mera preparazione al test e sarà invece incoraggiato il loro uso critico e consapevole all’interno di percorsi laboratoriali di autovalutazione della preparazione per l’università.</w:t>
      </w:r>
    </w:p>
    <w:p w14:paraId="0000002D" w14:textId="77777777" w:rsidR="00D467EE" w:rsidRDefault="00D467EE">
      <w:pPr>
        <w:spacing w:after="0"/>
        <w:jc w:val="both"/>
      </w:pPr>
    </w:p>
    <w:p w14:paraId="0000002E" w14:textId="77777777" w:rsidR="00D467EE" w:rsidRDefault="003E0011">
      <w:pPr>
        <w:spacing w:after="0"/>
        <w:jc w:val="both"/>
        <w:rPr>
          <w:b/>
          <w:i/>
        </w:rPr>
      </w:pPr>
      <w:r>
        <w:rPr>
          <w:b/>
        </w:rPr>
        <w:t xml:space="preserve">C. Ampliamento piattaforma </w:t>
      </w:r>
      <w:r>
        <w:rPr>
          <w:b/>
          <w:i/>
        </w:rPr>
        <w:t>Data Visualization.</w:t>
      </w:r>
    </w:p>
    <w:p w14:paraId="0000002F" w14:textId="44D1651F" w:rsidR="00D467EE" w:rsidRDefault="003E0011">
      <w:pPr>
        <w:spacing w:after="0"/>
        <w:jc w:val="both"/>
        <w:rPr>
          <w:sz w:val="24"/>
          <w:szCs w:val="24"/>
        </w:rPr>
      </w:pPr>
      <w:r>
        <w:rPr>
          <w:sz w:val="24"/>
          <w:szCs w:val="24"/>
        </w:rPr>
        <w:lastRenderedPageBreak/>
        <w:t>Si tratta di una piattaforma in grado di restituire in modo riservato e puntuale a studenti e studentesse, Atenei e Scuole informazioni e dati statistici provenienti dagli esiti TOLC e PPS sulla preparazione iniziale. Disponibile per l’anno  scolastico 2020/2021</w:t>
      </w:r>
    </w:p>
    <w:p w14:paraId="00000030" w14:textId="77777777" w:rsidR="00D467EE" w:rsidRDefault="00D467EE">
      <w:pPr>
        <w:spacing w:after="0"/>
        <w:jc w:val="both"/>
        <w:rPr>
          <w:sz w:val="24"/>
          <w:szCs w:val="24"/>
        </w:rPr>
      </w:pPr>
    </w:p>
    <w:p w14:paraId="00000031" w14:textId="77777777" w:rsidR="00D467EE" w:rsidRDefault="003E0011">
      <w:pPr>
        <w:spacing w:after="0"/>
        <w:jc w:val="both"/>
        <w:rPr>
          <w:sz w:val="24"/>
          <w:szCs w:val="24"/>
        </w:rPr>
      </w:pPr>
      <w:r>
        <w:rPr>
          <w:b/>
          <w:sz w:val="24"/>
          <w:szCs w:val="24"/>
        </w:rPr>
        <w:t>D. Creazione nuovo portale Università Scuole p</w:t>
      </w:r>
      <w:r>
        <w:t xml:space="preserve">er </w:t>
      </w:r>
      <w:r>
        <w:rPr>
          <w:sz w:val="24"/>
          <w:szCs w:val="24"/>
        </w:rPr>
        <w:t xml:space="preserve">l’uso degli strumenti descritti alle voci </w:t>
      </w:r>
      <w:r>
        <w:rPr>
          <w:b/>
          <w:sz w:val="24"/>
          <w:szCs w:val="24"/>
        </w:rPr>
        <w:t xml:space="preserve">A, B </w:t>
      </w:r>
      <w:r>
        <w:rPr>
          <w:sz w:val="24"/>
          <w:szCs w:val="24"/>
        </w:rPr>
        <w:t>e</w:t>
      </w:r>
      <w:r>
        <w:rPr>
          <w:b/>
          <w:sz w:val="24"/>
          <w:szCs w:val="24"/>
        </w:rPr>
        <w:t xml:space="preserve"> C, </w:t>
      </w:r>
      <w:r>
        <w:rPr>
          <w:sz w:val="24"/>
          <w:szCs w:val="24"/>
        </w:rPr>
        <w:t xml:space="preserve"> la cui funzionalità sarà completa per l’inizio dell’anno scolastico-accademico 2020 -2021. </w:t>
      </w:r>
    </w:p>
    <w:p w14:paraId="00000032" w14:textId="77777777" w:rsidR="00D467EE" w:rsidRDefault="003E0011">
      <w:pPr>
        <w:spacing w:after="0"/>
        <w:jc w:val="both"/>
        <w:rPr>
          <w:sz w:val="24"/>
          <w:szCs w:val="24"/>
        </w:rPr>
      </w:pPr>
      <w:r>
        <w:rPr>
          <w:sz w:val="24"/>
          <w:szCs w:val="24"/>
        </w:rPr>
        <w:t>Una versione preliminare del portale, che non avrà ancora funzioni interattive, ma sarà utilizzabile come portale informativo di progetto e deposito di materiali, sarà realizzata entro il 2019.</w:t>
      </w:r>
    </w:p>
    <w:p w14:paraId="00000033" w14:textId="77777777" w:rsidR="00D467EE" w:rsidRDefault="00D467EE">
      <w:pPr>
        <w:spacing w:after="0"/>
        <w:jc w:val="both"/>
        <w:rPr>
          <w:sz w:val="24"/>
          <w:szCs w:val="24"/>
        </w:rPr>
      </w:pPr>
    </w:p>
    <w:p w14:paraId="00000034" w14:textId="77777777" w:rsidR="00D467EE" w:rsidRDefault="003E0011">
      <w:pPr>
        <w:spacing w:after="0"/>
        <w:jc w:val="both"/>
        <w:rPr>
          <w:color w:val="000000"/>
          <w:sz w:val="24"/>
          <w:szCs w:val="24"/>
        </w:rPr>
      </w:pPr>
      <w:r>
        <w:rPr>
          <w:b/>
          <w:color w:val="000000"/>
          <w:sz w:val="24"/>
          <w:szCs w:val="24"/>
        </w:rPr>
        <w:t>F. Raccolta di video orientativi e motivazionali</w:t>
      </w:r>
      <w:r>
        <w:rPr>
          <w:color w:val="000000"/>
          <w:sz w:val="24"/>
          <w:szCs w:val="24"/>
        </w:rPr>
        <w:t xml:space="preserve"> realizzati dai progetti POT e PLS ed ospitati sul futuro portale Università Scuole.</w:t>
      </w:r>
    </w:p>
    <w:p w14:paraId="00000035" w14:textId="77777777" w:rsidR="00D467EE" w:rsidRDefault="00D467EE">
      <w:pPr>
        <w:spacing w:after="0"/>
        <w:jc w:val="both"/>
        <w:rPr>
          <w:sz w:val="24"/>
          <w:szCs w:val="24"/>
        </w:rPr>
      </w:pPr>
    </w:p>
    <w:p w14:paraId="00000036" w14:textId="77777777" w:rsidR="00D467EE" w:rsidRDefault="003E0011">
      <w:pPr>
        <w:spacing w:after="0"/>
        <w:jc w:val="both"/>
        <w:rPr>
          <w:sz w:val="24"/>
          <w:szCs w:val="24"/>
        </w:rPr>
      </w:pPr>
      <w:r>
        <w:rPr>
          <w:b/>
          <w:sz w:val="24"/>
          <w:szCs w:val="24"/>
        </w:rPr>
        <w:t>Tutti i materiali elencati ai punti A. e B.</w:t>
      </w:r>
      <w:r>
        <w:rPr>
          <w:sz w:val="24"/>
          <w:szCs w:val="24"/>
        </w:rPr>
        <w:t xml:space="preserve"> saranno fra loro integrati per costituire un ambiente di apprendimento, utilizzabile secondo diverse modalità e quindi adattabile ai diversi tipi di esigenza dei singoli studenti e studentesse, dei docenti, delle scuole e dei corsi di laurea.</w:t>
      </w:r>
    </w:p>
    <w:p w14:paraId="00000037" w14:textId="77777777" w:rsidR="00D467EE" w:rsidRDefault="003E0011">
      <w:pPr>
        <w:spacing w:after="0"/>
        <w:jc w:val="both"/>
        <w:rPr>
          <w:sz w:val="24"/>
          <w:szCs w:val="24"/>
        </w:rPr>
      </w:pPr>
      <w:r>
        <w:rPr>
          <w:sz w:val="24"/>
          <w:szCs w:val="24"/>
        </w:rPr>
        <w:t>Tutti gli strumenti che saranno realizzati potranno essere utilizzati da tutti gli studenti e le studentesse delle scuole secondarie di secondo grado e da tutte le scuole coinvolte dagli atenei nei progetti PLS e POT, indipendentemente dall’eventuale utilizzo dei test TOLC CISIA ufficiali da parte degli atenei stessi. Una parte degli strumenti sarà ad accesso completamente libero.</w:t>
      </w:r>
    </w:p>
    <w:p w14:paraId="00000038" w14:textId="77777777" w:rsidR="00D467EE" w:rsidRDefault="00D467EE">
      <w:pPr>
        <w:spacing w:after="0"/>
        <w:jc w:val="both"/>
      </w:pPr>
    </w:p>
    <w:p w14:paraId="00000039" w14:textId="77777777" w:rsidR="00D467EE" w:rsidRDefault="00D467EE">
      <w:pPr>
        <w:spacing w:after="0"/>
        <w:jc w:val="both"/>
      </w:pPr>
    </w:p>
    <w:p w14:paraId="0000003A" w14:textId="77777777" w:rsidR="00D467EE" w:rsidRDefault="00D467EE">
      <w:pPr>
        <w:spacing w:after="0"/>
        <w:jc w:val="both"/>
      </w:pPr>
    </w:p>
    <w:sectPr w:rsidR="00D467EE">
      <w:headerReference w:type="default" r:id="rId15"/>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250A4" w14:textId="77777777" w:rsidR="00C434A5" w:rsidRDefault="00C434A5">
      <w:pPr>
        <w:spacing w:after="0" w:line="240" w:lineRule="auto"/>
      </w:pPr>
      <w:r>
        <w:separator/>
      </w:r>
    </w:p>
  </w:endnote>
  <w:endnote w:type="continuationSeparator" w:id="0">
    <w:p w14:paraId="40CF25EA" w14:textId="77777777" w:rsidR="00C434A5" w:rsidRDefault="00C4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81155" w14:textId="77777777" w:rsidR="00C434A5" w:rsidRDefault="00C434A5">
      <w:pPr>
        <w:spacing w:after="0" w:line="240" w:lineRule="auto"/>
      </w:pPr>
      <w:r>
        <w:separator/>
      </w:r>
    </w:p>
  </w:footnote>
  <w:footnote w:type="continuationSeparator" w:id="0">
    <w:p w14:paraId="66AFCFBF" w14:textId="77777777" w:rsidR="00C434A5" w:rsidRDefault="00C4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D467EE" w:rsidRDefault="003E0011">
    <w:pPr>
      <w:spacing w:after="0"/>
      <w:jc w:val="center"/>
      <w:rPr>
        <w:b/>
        <w:color w:val="1F497D"/>
      </w:rPr>
    </w:pPr>
    <w:r>
      <w:rPr>
        <w:b/>
        <w:color w:val="1F497D"/>
      </w:rPr>
      <w:t>“GLI STRUMENTI CISIA A SUPPORTO DEI PIANI PER L’ORIENTAMENTO E IL TUTORATO (POT) E DEL PIANO LAUREE SCIENTIFICHE (PLS)”</w:t>
    </w:r>
  </w:p>
  <w:p w14:paraId="0000003C" w14:textId="77777777" w:rsidR="00D467EE" w:rsidRDefault="00D467E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2CEF"/>
    <w:multiLevelType w:val="multilevel"/>
    <w:tmpl w:val="29D8C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933B10"/>
    <w:multiLevelType w:val="multilevel"/>
    <w:tmpl w:val="06C86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5565B8"/>
    <w:multiLevelType w:val="multilevel"/>
    <w:tmpl w:val="FB0CBB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3C6DE7"/>
    <w:multiLevelType w:val="multilevel"/>
    <w:tmpl w:val="16481BF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EE"/>
    <w:rsid w:val="000B5ADF"/>
    <w:rsid w:val="003E0011"/>
    <w:rsid w:val="00C434A5"/>
    <w:rsid w:val="00D467EE"/>
    <w:rsid w:val="00F10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E00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00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E00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0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siaonli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siaonline.sharepoint.com/sites/PROGETTAZIONEESECUTIVAPOTEPLSEGAREDIFORNITURA/Shared%20Documents/General/linee%20guida%20POT%20e%20PLS/PLS_linee%20guida_fi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ot.cineca.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cisiaonline.sharepoint.com/sites/PROGETTAZIONEESECUTIVAPOTEPLSEGAREDIFORNITURA/Shared%20Documents/General/MATERIALI%2031%20LUGLIO%20-%20PROGETTO%20ESECUTIVO/20190731_PROGETTO_ESECUTIVO_STRUMENTI_CISIA_POT-P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6E8973AD5A14DA1ADE8C7FFFFAE94" ma:contentTypeVersion="13" ma:contentTypeDescription="Create a new document." ma:contentTypeScope="" ma:versionID="931a2f5134556aece45c6953c168a352">
  <xsd:schema xmlns:xsd="http://www.w3.org/2001/XMLSchema" xmlns:xs="http://www.w3.org/2001/XMLSchema" xmlns:p="http://schemas.microsoft.com/office/2006/metadata/properties" xmlns:ns1="http://schemas.microsoft.com/sharepoint/v3" xmlns:ns3="b4226923-fb88-4081-8c8d-cb0d7df23d99" xmlns:ns4="bcbe1892-56e5-4b98-a573-a3964c98ed23" targetNamespace="http://schemas.microsoft.com/office/2006/metadata/properties" ma:root="true" ma:fieldsID="160f8d589e90363f0ff624882e794898" ns1:_="" ns3:_="" ns4:_="">
    <xsd:import namespace="http://schemas.microsoft.com/sharepoint/v3"/>
    <xsd:import namespace="b4226923-fb88-4081-8c8d-cb0d7df23d99"/>
    <xsd:import namespace="bcbe1892-56e5-4b98-a573-a3964c98ed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26923-fb88-4081-8c8d-cb0d7df23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be1892-56e5-4b98-a573-a3964c98e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D319A-AE8D-4A14-B99D-4191412505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00F333-3AB1-4088-AD1F-9F4BAB03447E}">
  <ds:schemaRefs>
    <ds:schemaRef ds:uri="http://schemas.microsoft.com/sharepoint/v3/contenttype/forms"/>
  </ds:schemaRefs>
</ds:datastoreItem>
</file>

<file path=customXml/itemProps3.xml><?xml version="1.0" encoding="utf-8"?>
<ds:datastoreItem xmlns:ds="http://schemas.openxmlformats.org/officeDocument/2006/customXml" ds:itemID="{D0C3B44F-AF05-4A23-A6EB-07EE32EBB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26923-fb88-4081-8c8d-cb0d7df23d99"/>
    <ds:schemaRef ds:uri="bcbe1892-56e5-4b98-a573-a3964c98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Enface</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FORTE FISSO</dc:creator>
  <cp:lastModifiedBy>Ugo</cp:lastModifiedBy>
  <cp:revision>2</cp:revision>
  <dcterms:created xsi:type="dcterms:W3CDTF">2019-09-10T07:31:00Z</dcterms:created>
  <dcterms:modified xsi:type="dcterms:W3CDTF">2019-09-10T07:31:00Z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0x01010084E6E8973AD5A14DA1ADE8C7FFFFAE94</vt:lpwstr>
  </property>
</Properties>
</file>