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625" w:rsidRDefault="00F82363">
      <w:bookmarkStart w:id="0" w:name="_GoBack"/>
      <w:bookmarkEnd w:id="0"/>
      <w:r>
        <w:rPr>
          <w:noProof/>
        </w:rPr>
        <w:drawing>
          <wp:inline distT="0" distB="0" distL="0" distR="0">
            <wp:extent cx="9065260" cy="914400"/>
            <wp:effectExtent l="19050" t="0" r="254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9065260" cy="914400"/>
                    </a:xfrm>
                    <a:prstGeom prst="rect">
                      <a:avLst/>
                    </a:prstGeom>
                    <a:noFill/>
                    <a:ln w="9525">
                      <a:noFill/>
                      <a:miter lim="800000"/>
                      <a:headEnd/>
                      <a:tailEnd/>
                    </a:ln>
                  </pic:spPr>
                </pic:pic>
              </a:graphicData>
            </a:graphic>
          </wp:inline>
        </w:drawing>
      </w:r>
    </w:p>
    <w:p w:rsidR="00F82363" w:rsidRDefault="00F82363"/>
    <w:tbl>
      <w:tblPr>
        <w:tblStyle w:val="Grigliatabella"/>
        <w:tblW w:w="0" w:type="auto"/>
        <w:tblLook w:val="04A0" w:firstRow="1" w:lastRow="0" w:firstColumn="1" w:lastColumn="0" w:noHBand="0" w:noVBand="1"/>
      </w:tblPr>
      <w:tblGrid>
        <w:gridCol w:w="2518"/>
        <w:gridCol w:w="3827"/>
        <w:gridCol w:w="8157"/>
      </w:tblGrid>
      <w:tr w:rsidR="00F82363" w:rsidRPr="00A71BFE" w:rsidTr="00A71BFE">
        <w:trPr>
          <w:trHeight w:val="501"/>
        </w:trPr>
        <w:tc>
          <w:tcPr>
            <w:tcW w:w="2518" w:type="dxa"/>
            <w:shd w:val="clear" w:color="auto" w:fill="CCC0D9" w:themeFill="accent4" w:themeFillTint="66"/>
            <w:vAlign w:val="center"/>
          </w:tcPr>
          <w:p w:rsidR="00F82363" w:rsidRPr="00A71BFE" w:rsidRDefault="00F82363" w:rsidP="00A71BFE">
            <w:pPr>
              <w:jc w:val="center"/>
              <w:rPr>
                <w:sz w:val="24"/>
                <w:szCs w:val="24"/>
              </w:rPr>
            </w:pPr>
            <w:r w:rsidRPr="00A71BFE">
              <w:rPr>
                <w:sz w:val="24"/>
                <w:szCs w:val="24"/>
              </w:rPr>
              <w:t>Associazione</w:t>
            </w:r>
          </w:p>
        </w:tc>
        <w:tc>
          <w:tcPr>
            <w:tcW w:w="3827" w:type="dxa"/>
            <w:shd w:val="clear" w:color="auto" w:fill="CCC0D9" w:themeFill="accent4" w:themeFillTint="66"/>
            <w:vAlign w:val="center"/>
          </w:tcPr>
          <w:p w:rsidR="00F82363" w:rsidRPr="00A71BFE" w:rsidRDefault="00F82363" w:rsidP="00A71BFE">
            <w:pPr>
              <w:jc w:val="center"/>
              <w:rPr>
                <w:sz w:val="24"/>
                <w:szCs w:val="24"/>
              </w:rPr>
            </w:pPr>
            <w:r w:rsidRPr="00A71BFE">
              <w:rPr>
                <w:sz w:val="24"/>
                <w:szCs w:val="24"/>
              </w:rPr>
              <w:t>Attività</w:t>
            </w:r>
          </w:p>
        </w:tc>
        <w:tc>
          <w:tcPr>
            <w:tcW w:w="8157" w:type="dxa"/>
            <w:shd w:val="clear" w:color="auto" w:fill="CCC0D9" w:themeFill="accent4" w:themeFillTint="66"/>
            <w:vAlign w:val="center"/>
          </w:tcPr>
          <w:p w:rsidR="00F82363" w:rsidRPr="00A71BFE" w:rsidRDefault="00F82363" w:rsidP="00A71BFE">
            <w:pPr>
              <w:jc w:val="center"/>
              <w:rPr>
                <w:sz w:val="24"/>
                <w:szCs w:val="24"/>
              </w:rPr>
            </w:pPr>
            <w:r w:rsidRPr="00A71BFE">
              <w:rPr>
                <w:sz w:val="24"/>
                <w:szCs w:val="24"/>
              </w:rPr>
              <w:t>Descrizione</w:t>
            </w:r>
          </w:p>
        </w:tc>
      </w:tr>
      <w:tr w:rsidR="00A71BFE" w:rsidRPr="00A71BFE" w:rsidTr="00A71BFE">
        <w:tc>
          <w:tcPr>
            <w:tcW w:w="2518" w:type="dxa"/>
            <w:vAlign w:val="center"/>
          </w:tcPr>
          <w:p w:rsidR="00A71BFE" w:rsidRPr="00F2691B" w:rsidRDefault="00A71BFE" w:rsidP="00A71BFE">
            <w:pPr>
              <w:jc w:val="center"/>
              <w:rPr>
                <w:b/>
                <w:sz w:val="24"/>
                <w:szCs w:val="24"/>
              </w:rPr>
            </w:pPr>
            <w:r w:rsidRPr="00F2691B">
              <w:rPr>
                <w:b/>
                <w:sz w:val="24"/>
                <w:szCs w:val="24"/>
              </w:rPr>
              <w:t>AREZZO</w:t>
            </w:r>
          </w:p>
        </w:tc>
        <w:tc>
          <w:tcPr>
            <w:tcW w:w="3827" w:type="dxa"/>
            <w:vAlign w:val="center"/>
          </w:tcPr>
          <w:p w:rsidR="00A71BFE" w:rsidRPr="00A71BFE" w:rsidRDefault="00A71BFE" w:rsidP="00A71BFE">
            <w:pPr>
              <w:jc w:val="center"/>
              <w:outlineLvl w:val="0"/>
              <w:rPr>
                <w:rFonts w:cs="Arial"/>
                <w:color w:val="000000"/>
                <w:sz w:val="24"/>
                <w:szCs w:val="24"/>
              </w:rPr>
            </w:pPr>
            <w:r w:rsidRPr="00A71BFE">
              <w:rPr>
                <w:rFonts w:cs="Arial"/>
                <w:color w:val="000000"/>
                <w:sz w:val="24"/>
                <w:szCs w:val="24"/>
              </w:rPr>
              <w:t>Eureka - Polo Tecnico Professionale per l’innovazione dei processi e dei prodotti meccanici e per la meccatronica</w:t>
            </w:r>
          </w:p>
        </w:tc>
        <w:tc>
          <w:tcPr>
            <w:tcW w:w="8157" w:type="dxa"/>
            <w:vAlign w:val="center"/>
          </w:tcPr>
          <w:p w:rsidR="00A71BFE" w:rsidRPr="00A71BFE" w:rsidRDefault="00A71BFE" w:rsidP="00A71BFE">
            <w:pPr>
              <w:jc w:val="both"/>
              <w:outlineLvl w:val="0"/>
              <w:rPr>
                <w:rFonts w:cs="Arial"/>
                <w:color w:val="000000"/>
                <w:sz w:val="24"/>
                <w:szCs w:val="24"/>
              </w:rPr>
            </w:pPr>
            <w:r w:rsidRPr="00A71BFE">
              <w:rPr>
                <w:rFonts w:cs="Arial"/>
                <w:color w:val="000000"/>
                <w:sz w:val="24"/>
                <w:szCs w:val="24"/>
              </w:rPr>
              <w:t xml:space="preserve">Il Polo Tecnico Professionale per l’innovazione dei processi e dei prodotti meccanici e per la meccanotronica vuole: (a) creare sinergia tra i percorsi ed i diversi soggetti dell’offerta formativa e le imprese, condividendo risorse umane, laboratori, analisi di fabbisogni e progettualità; (b) avviare processi di trasformazione del modello didattico basati sulla didattica laboratoriale sia per le competenze di base che per quelle professionalizzanti; (c) favorire la continuità dei percorsi formativi ed il successo formativo, contrastando il rischio di abbandono e dispersione anche attraverso l’uso di ambienti di apprendimento basati su un diffuso utilizzo delle ICT nella pratica educativa; (d) promuovere azioni trasversali alle diverse offerte formative; (e) promuovere il contratto di apprendistato e qualificarne il contenuto formativo, con particolare riferimento al primo e terzo livello; (f) favorire l’esperienza di formazione in alternanza; (g) promuovere la formazione permanente e continua; (h) creare le condizioni affinché le autonomie scolastiche e formative realizzino la flessibilità curricolare con il pieno utilizzo degli strumenti esistenti; (i) attivare azioni di orientamento; (j) realizzare azioni di accompagnamento dei giovani adulti per il rientro nel sistema educativo di istruzione e formazione; e (k) </w:t>
            </w:r>
            <w:r w:rsidRPr="00F2691B">
              <w:rPr>
                <w:rFonts w:cs="Arial"/>
                <w:b/>
                <w:color w:val="000000"/>
                <w:sz w:val="24"/>
                <w:szCs w:val="24"/>
              </w:rPr>
              <w:t>realizzare interventi di formazione congiunta di carattere scientifico, tecnico e tecnologico per i docenti e i formatori impegnati nelle diverse istituzioni educative e formative.</w:t>
            </w:r>
          </w:p>
        </w:tc>
      </w:tr>
      <w:tr w:rsidR="00F82363" w:rsidRPr="00A71BFE" w:rsidTr="00A71BFE">
        <w:tc>
          <w:tcPr>
            <w:tcW w:w="2518" w:type="dxa"/>
            <w:vAlign w:val="center"/>
          </w:tcPr>
          <w:p w:rsidR="00F82363" w:rsidRPr="00F2691B" w:rsidRDefault="00F82363" w:rsidP="00A71BFE">
            <w:pPr>
              <w:jc w:val="center"/>
              <w:rPr>
                <w:rFonts w:cs="Arial"/>
                <w:b/>
                <w:color w:val="000000"/>
                <w:sz w:val="24"/>
                <w:szCs w:val="24"/>
              </w:rPr>
            </w:pPr>
            <w:r w:rsidRPr="00F2691B">
              <w:rPr>
                <w:rFonts w:cs="Arial"/>
                <w:b/>
                <w:color w:val="000000"/>
                <w:sz w:val="24"/>
                <w:szCs w:val="24"/>
              </w:rPr>
              <w:t>BELLUNO</w:t>
            </w:r>
          </w:p>
        </w:tc>
        <w:tc>
          <w:tcPr>
            <w:tcW w:w="3827" w:type="dxa"/>
            <w:vAlign w:val="center"/>
          </w:tcPr>
          <w:p w:rsidR="00F82363" w:rsidRPr="00A71BFE" w:rsidRDefault="00A71BFE" w:rsidP="00A71BFE">
            <w:pPr>
              <w:jc w:val="center"/>
              <w:outlineLvl w:val="0"/>
              <w:rPr>
                <w:rFonts w:cs="Arial"/>
                <w:color w:val="000000"/>
                <w:sz w:val="24"/>
                <w:szCs w:val="24"/>
              </w:rPr>
            </w:pPr>
            <w:r w:rsidRPr="00A71BFE">
              <w:rPr>
                <w:rFonts w:cs="Arial"/>
                <w:color w:val="000000"/>
                <w:sz w:val="24"/>
                <w:szCs w:val="24"/>
              </w:rPr>
              <w:t>Scuola in impresa</w:t>
            </w:r>
          </w:p>
        </w:tc>
        <w:tc>
          <w:tcPr>
            <w:tcW w:w="8157" w:type="dxa"/>
            <w:vAlign w:val="center"/>
          </w:tcPr>
          <w:p w:rsidR="00A71BFE" w:rsidRPr="00A71BFE" w:rsidRDefault="00A71BFE" w:rsidP="00A71BFE">
            <w:pPr>
              <w:jc w:val="both"/>
              <w:outlineLvl w:val="0"/>
              <w:rPr>
                <w:rFonts w:cs="Arial"/>
                <w:color w:val="000000"/>
                <w:sz w:val="24"/>
                <w:szCs w:val="24"/>
              </w:rPr>
            </w:pPr>
            <w:r w:rsidRPr="00A71BFE">
              <w:rPr>
                <w:rFonts w:cs="Arial"/>
                <w:color w:val="000000"/>
                <w:sz w:val="24"/>
                <w:szCs w:val="24"/>
              </w:rPr>
              <w:t>Un’impresa affida un progetto di approfondimento tematico (una vera e propria commessa) ad una classe che, suddivisa in gruppi, lo realizza a scuola. Il progetto assume le caratteristiche di un vero e proprio progetto di specializzazione che si articola in diverse fasi:</w:t>
            </w:r>
          </w:p>
          <w:p w:rsidR="00A71BFE" w:rsidRPr="00A71BFE" w:rsidRDefault="00A71BFE" w:rsidP="00F2691B">
            <w:pPr>
              <w:ind w:left="708"/>
              <w:jc w:val="both"/>
              <w:outlineLvl w:val="0"/>
              <w:rPr>
                <w:rFonts w:cs="Arial"/>
                <w:color w:val="000000"/>
                <w:sz w:val="24"/>
                <w:szCs w:val="24"/>
              </w:rPr>
            </w:pPr>
            <w:r w:rsidRPr="00A71BFE">
              <w:rPr>
                <w:rFonts w:cs="Arial"/>
                <w:color w:val="000000"/>
                <w:sz w:val="24"/>
                <w:szCs w:val="24"/>
              </w:rPr>
              <w:lastRenderedPageBreak/>
              <w:t>1.</w:t>
            </w:r>
            <w:r w:rsidRPr="00A71BFE">
              <w:rPr>
                <w:rFonts w:cs="Arial"/>
                <w:color w:val="000000"/>
                <w:sz w:val="24"/>
                <w:szCs w:val="24"/>
              </w:rPr>
              <w:tab/>
              <w:t>Visita all’aziendale al fine di permettere agli studenti di avere una visione d’insieme dell’impresa con cui collaborano. Durante la visita i tecnici illustrano l’organizzazione aziendale, il mercato di riferimento con visita approfondita dell’ufficio tecnico e reparto produttivo.</w:t>
            </w:r>
          </w:p>
          <w:p w:rsidR="00A71BFE" w:rsidRPr="00A71BFE" w:rsidRDefault="00A71BFE" w:rsidP="00F2691B">
            <w:pPr>
              <w:ind w:left="708"/>
              <w:jc w:val="both"/>
              <w:outlineLvl w:val="0"/>
              <w:rPr>
                <w:rFonts w:cs="Arial"/>
                <w:color w:val="000000"/>
                <w:sz w:val="24"/>
                <w:szCs w:val="24"/>
              </w:rPr>
            </w:pPr>
            <w:r w:rsidRPr="00A71BFE">
              <w:rPr>
                <w:rFonts w:cs="Arial"/>
                <w:color w:val="000000"/>
                <w:sz w:val="24"/>
                <w:szCs w:val="24"/>
              </w:rPr>
              <w:t>2.</w:t>
            </w:r>
            <w:r w:rsidRPr="00A71BFE">
              <w:rPr>
                <w:rFonts w:cs="Arial"/>
                <w:color w:val="000000"/>
                <w:sz w:val="24"/>
                <w:szCs w:val="24"/>
              </w:rPr>
              <w:tab/>
              <w:t>Progetto di specializzazione: per un periodo di due settimana vi è una sospensione del normale orario scolastico e gli studenti si dedicano al progetto sotto la guida e la supervisione dei tecnici aziendali e degli insegnanti referenti. In alcuni casi è stato premiato il progetto migliore o lo studente o il team che si sono distinti nel lavoro; la valutazione viene fatta esclusivamente dai tecnici delle aziende partner .</w:t>
            </w:r>
          </w:p>
          <w:p w:rsidR="00A71BFE" w:rsidRDefault="00A71BFE" w:rsidP="00F2691B">
            <w:pPr>
              <w:ind w:left="708"/>
              <w:jc w:val="both"/>
              <w:outlineLvl w:val="0"/>
              <w:rPr>
                <w:rFonts w:cs="Arial"/>
                <w:color w:val="000000"/>
                <w:sz w:val="24"/>
                <w:szCs w:val="24"/>
              </w:rPr>
            </w:pPr>
            <w:r w:rsidRPr="00A71BFE">
              <w:rPr>
                <w:rFonts w:cs="Arial"/>
                <w:color w:val="000000"/>
                <w:sz w:val="24"/>
                <w:szCs w:val="24"/>
              </w:rPr>
              <w:t>3.</w:t>
            </w:r>
            <w:r w:rsidRPr="00A71BFE">
              <w:rPr>
                <w:rFonts w:cs="Arial"/>
                <w:color w:val="000000"/>
                <w:sz w:val="24"/>
                <w:szCs w:val="24"/>
              </w:rPr>
              <w:tab/>
              <w:t>Gli studenti meritevoli e interessati vengono ospitati dall’impresa per un tirocinio estivo di 4-6 settimane.</w:t>
            </w:r>
          </w:p>
          <w:p w:rsidR="00F2691B" w:rsidRPr="00A71BFE" w:rsidRDefault="00F2691B" w:rsidP="00F2691B">
            <w:pPr>
              <w:ind w:left="708"/>
              <w:jc w:val="both"/>
              <w:outlineLvl w:val="0"/>
              <w:rPr>
                <w:rFonts w:cs="Arial"/>
                <w:color w:val="000000"/>
                <w:sz w:val="24"/>
                <w:szCs w:val="24"/>
              </w:rPr>
            </w:pPr>
          </w:p>
          <w:p w:rsidR="00A71BFE" w:rsidRPr="00A71BFE" w:rsidRDefault="00A71BFE" w:rsidP="00A71BFE">
            <w:pPr>
              <w:jc w:val="both"/>
              <w:outlineLvl w:val="0"/>
              <w:rPr>
                <w:rFonts w:cs="Arial"/>
                <w:color w:val="000000"/>
                <w:sz w:val="24"/>
                <w:szCs w:val="24"/>
              </w:rPr>
            </w:pPr>
            <w:r w:rsidRPr="00A71BFE">
              <w:rPr>
                <w:rFonts w:cs="Arial"/>
                <w:color w:val="000000"/>
                <w:sz w:val="24"/>
                <w:szCs w:val="24"/>
              </w:rPr>
              <w:t>Il progetto coinvolge principalmente le Classi 4^ dell'ITI G. Segato di Belluno.</w:t>
            </w:r>
          </w:p>
          <w:p w:rsidR="00F2691B" w:rsidRDefault="00F2691B" w:rsidP="00A71BFE">
            <w:pPr>
              <w:jc w:val="both"/>
              <w:outlineLvl w:val="0"/>
              <w:rPr>
                <w:rFonts w:cs="Arial"/>
                <w:color w:val="000000"/>
                <w:sz w:val="24"/>
                <w:szCs w:val="24"/>
              </w:rPr>
            </w:pPr>
          </w:p>
          <w:p w:rsidR="00A71BFE" w:rsidRPr="00A71BFE" w:rsidRDefault="00A71BFE" w:rsidP="00A71BFE">
            <w:pPr>
              <w:jc w:val="both"/>
              <w:outlineLvl w:val="0"/>
              <w:rPr>
                <w:rFonts w:cs="Arial"/>
                <w:color w:val="000000"/>
                <w:sz w:val="24"/>
                <w:szCs w:val="24"/>
              </w:rPr>
            </w:pPr>
            <w:r w:rsidRPr="00A71BFE">
              <w:rPr>
                <w:rFonts w:cs="Arial"/>
                <w:color w:val="000000"/>
                <w:sz w:val="24"/>
                <w:szCs w:val="24"/>
              </w:rPr>
              <w:t>Principali punti di forza del progetto sono:</w:t>
            </w:r>
          </w:p>
          <w:p w:rsidR="00A71BFE" w:rsidRPr="00A71BFE" w:rsidRDefault="00A71BFE" w:rsidP="00F2691B">
            <w:pPr>
              <w:ind w:left="708"/>
              <w:jc w:val="both"/>
              <w:outlineLvl w:val="0"/>
              <w:rPr>
                <w:rFonts w:cs="Arial"/>
                <w:color w:val="000000"/>
                <w:sz w:val="24"/>
                <w:szCs w:val="24"/>
              </w:rPr>
            </w:pPr>
            <w:r w:rsidRPr="00A71BFE">
              <w:rPr>
                <w:rFonts w:cs="Arial"/>
                <w:color w:val="000000"/>
                <w:sz w:val="24"/>
                <w:szCs w:val="24"/>
              </w:rPr>
              <w:t>A) il coinvolgimento dell’intera classe su un unico progetto globale, valorizzando al contempo le competenze, conoscenze, abilità dei singoli gruppi, rendendo meno dispersivo il successivo sviluppo scolastico che è legato al gruppo classe.</w:t>
            </w:r>
          </w:p>
          <w:p w:rsidR="00F82363" w:rsidRPr="00A71BFE" w:rsidRDefault="00A71BFE" w:rsidP="00F2691B">
            <w:pPr>
              <w:ind w:left="708"/>
              <w:jc w:val="both"/>
              <w:outlineLvl w:val="0"/>
              <w:rPr>
                <w:rFonts w:cs="Arial"/>
                <w:color w:val="000000"/>
                <w:sz w:val="24"/>
                <w:szCs w:val="24"/>
              </w:rPr>
            </w:pPr>
            <w:r w:rsidRPr="00A71BFE">
              <w:rPr>
                <w:rFonts w:cs="Arial"/>
                <w:color w:val="000000"/>
                <w:sz w:val="24"/>
                <w:szCs w:val="24"/>
              </w:rPr>
              <w:t xml:space="preserve">B) </w:t>
            </w:r>
            <w:r w:rsidRPr="00F2691B">
              <w:rPr>
                <w:rFonts w:cs="Arial"/>
                <w:b/>
                <w:color w:val="000000"/>
                <w:sz w:val="24"/>
                <w:szCs w:val="24"/>
              </w:rPr>
              <w:t>il coinvolgimento attivo degli insegnanti che affiancano i tecnici aziendali nello sviluppo del progetto: generalmente l’attività degli studenti è preceduta da 1-2 giornate di formazione degli insegnanti in azienda.</w:t>
            </w:r>
          </w:p>
        </w:tc>
      </w:tr>
      <w:tr w:rsidR="00F82363" w:rsidRPr="00A71BFE" w:rsidTr="00A71BFE">
        <w:tc>
          <w:tcPr>
            <w:tcW w:w="2518" w:type="dxa"/>
            <w:vAlign w:val="center"/>
          </w:tcPr>
          <w:p w:rsidR="00F82363" w:rsidRPr="00F2691B" w:rsidRDefault="00F82363" w:rsidP="00A71BFE">
            <w:pPr>
              <w:jc w:val="center"/>
              <w:rPr>
                <w:rFonts w:cs="Arial"/>
                <w:b/>
                <w:color w:val="000000"/>
                <w:sz w:val="24"/>
                <w:szCs w:val="24"/>
              </w:rPr>
            </w:pPr>
            <w:r w:rsidRPr="00F2691B">
              <w:rPr>
                <w:rFonts w:cs="Arial"/>
                <w:b/>
                <w:color w:val="000000"/>
                <w:sz w:val="24"/>
                <w:szCs w:val="24"/>
              </w:rPr>
              <w:lastRenderedPageBreak/>
              <w:t>BERGAMO</w:t>
            </w:r>
          </w:p>
        </w:tc>
        <w:tc>
          <w:tcPr>
            <w:tcW w:w="3827" w:type="dxa"/>
            <w:vAlign w:val="center"/>
          </w:tcPr>
          <w:p w:rsidR="00F82363" w:rsidRPr="00A71BFE" w:rsidRDefault="00A71BFE" w:rsidP="00A71BFE">
            <w:pPr>
              <w:jc w:val="center"/>
              <w:outlineLvl w:val="0"/>
              <w:rPr>
                <w:rFonts w:cs="Arial"/>
                <w:color w:val="000000"/>
                <w:sz w:val="24"/>
                <w:szCs w:val="24"/>
              </w:rPr>
            </w:pPr>
            <w:r w:rsidRPr="00A71BFE">
              <w:rPr>
                <w:rFonts w:cs="Arial"/>
                <w:color w:val="000000"/>
                <w:sz w:val="24"/>
                <w:szCs w:val="24"/>
              </w:rPr>
              <w:t>Stage per docenti</w:t>
            </w:r>
          </w:p>
        </w:tc>
        <w:tc>
          <w:tcPr>
            <w:tcW w:w="8157" w:type="dxa"/>
            <w:vAlign w:val="center"/>
          </w:tcPr>
          <w:p w:rsidR="00A71BFE" w:rsidRPr="00F2691B" w:rsidRDefault="00A71BFE" w:rsidP="00A71BFE">
            <w:pPr>
              <w:jc w:val="both"/>
              <w:rPr>
                <w:b/>
                <w:sz w:val="24"/>
                <w:szCs w:val="24"/>
              </w:rPr>
            </w:pPr>
            <w:r w:rsidRPr="00F2691B">
              <w:rPr>
                <w:b/>
                <w:sz w:val="24"/>
                <w:szCs w:val="24"/>
              </w:rPr>
              <w:t>I docenti vengono accompagnati in un percorso formativo alla scoperta delle imprese.</w:t>
            </w:r>
          </w:p>
          <w:p w:rsidR="00A71BFE" w:rsidRPr="00A71BFE" w:rsidRDefault="00A71BFE" w:rsidP="00A71BFE">
            <w:pPr>
              <w:jc w:val="both"/>
              <w:rPr>
                <w:sz w:val="24"/>
                <w:szCs w:val="24"/>
              </w:rPr>
            </w:pPr>
            <w:r w:rsidRPr="00A71BFE">
              <w:rPr>
                <w:sz w:val="24"/>
                <w:szCs w:val="24"/>
              </w:rPr>
              <w:t>Tre visite aziendali e due incontri con esperti e manager permettono di approfondire lo scenario economico e occupazionale, con particolare riferimento ai giovani.</w:t>
            </w:r>
          </w:p>
          <w:p w:rsidR="00F82363" w:rsidRPr="00A71BFE" w:rsidRDefault="00A71BFE" w:rsidP="00A71BFE">
            <w:pPr>
              <w:jc w:val="both"/>
              <w:rPr>
                <w:sz w:val="24"/>
                <w:szCs w:val="24"/>
              </w:rPr>
            </w:pPr>
            <w:r w:rsidRPr="00A71BFE">
              <w:rPr>
                <w:sz w:val="24"/>
                <w:szCs w:val="24"/>
              </w:rPr>
              <w:t xml:space="preserve">Dopo l’edizione 2014, dedicata ai nuovi materiali e alle tecnologie innovative, si propone per febbraio 2015 un approfondimento sul tema dello smart using: dalla riduzione dello spreco al riuso dei materiali attraverso l’utilizzo di nuove </w:t>
            </w:r>
            <w:r w:rsidRPr="00A71BFE">
              <w:rPr>
                <w:sz w:val="24"/>
                <w:szCs w:val="24"/>
              </w:rPr>
              <w:lastRenderedPageBreak/>
              <w:t>tecnologie.</w:t>
            </w:r>
          </w:p>
        </w:tc>
      </w:tr>
      <w:tr w:rsidR="00F82363" w:rsidRPr="00A71BFE" w:rsidTr="00A71BFE">
        <w:tc>
          <w:tcPr>
            <w:tcW w:w="2518" w:type="dxa"/>
            <w:vAlign w:val="center"/>
          </w:tcPr>
          <w:p w:rsidR="00F82363" w:rsidRPr="00F2691B" w:rsidRDefault="00F82363" w:rsidP="00A71BFE">
            <w:pPr>
              <w:jc w:val="center"/>
              <w:rPr>
                <w:rFonts w:cs="Arial"/>
                <w:b/>
                <w:color w:val="000000"/>
                <w:sz w:val="24"/>
                <w:szCs w:val="24"/>
              </w:rPr>
            </w:pPr>
            <w:r w:rsidRPr="00F2691B">
              <w:rPr>
                <w:rFonts w:cs="Arial"/>
                <w:b/>
                <w:color w:val="000000"/>
                <w:sz w:val="24"/>
                <w:szCs w:val="24"/>
              </w:rPr>
              <w:lastRenderedPageBreak/>
              <w:t>BOLZANO</w:t>
            </w:r>
          </w:p>
        </w:tc>
        <w:tc>
          <w:tcPr>
            <w:tcW w:w="3827" w:type="dxa"/>
            <w:vAlign w:val="center"/>
          </w:tcPr>
          <w:p w:rsidR="00F82363" w:rsidRPr="00A71BFE" w:rsidRDefault="00F82363" w:rsidP="00A71BFE">
            <w:pPr>
              <w:jc w:val="center"/>
              <w:outlineLvl w:val="0"/>
              <w:rPr>
                <w:rFonts w:cs="Arial"/>
                <w:color w:val="000000"/>
                <w:sz w:val="24"/>
                <w:szCs w:val="24"/>
              </w:rPr>
            </w:pPr>
            <w:r w:rsidRPr="00A71BFE">
              <w:rPr>
                <w:rFonts w:cs="Arial"/>
                <w:color w:val="000000"/>
                <w:sz w:val="24"/>
                <w:szCs w:val="24"/>
              </w:rPr>
              <w:t>Incontro Scuole – Imprese: Manifestazioni per i professori</w:t>
            </w:r>
          </w:p>
        </w:tc>
        <w:tc>
          <w:tcPr>
            <w:tcW w:w="8157" w:type="dxa"/>
          </w:tcPr>
          <w:p w:rsidR="00F82363" w:rsidRPr="00A71BFE" w:rsidRDefault="00A71BFE" w:rsidP="00A71BFE">
            <w:pPr>
              <w:jc w:val="both"/>
              <w:rPr>
                <w:sz w:val="24"/>
                <w:szCs w:val="24"/>
              </w:rPr>
            </w:pPr>
            <w:r w:rsidRPr="00A71BFE">
              <w:rPr>
                <w:sz w:val="24"/>
                <w:szCs w:val="24"/>
              </w:rPr>
              <w:t xml:space="preserve">Gli insegnanti delle scuole superiori e professionali svolgono un ruolo fondamentale per continuare a far crescere la collaborazione tra il mondo dell’economia e quello della scuola. Per questo motivo Assoimprenditori Alto Adige in ogni anno scolastico organizza diverse </w:t>
            </w:r>
            <w:r w:rsidRPr="00F2691B">
              <w:rPr>
                <w:b/>
                <w:sz w:val="24"/>
                <w:szCs w:val="24"/>
              </w:rPr>
              <w:t>manifestazioni per gli insegnanti presso le imprese associate</w:t>
            </w:r>
            <w:r w:rsidRPr="00A71BFE">
              <w:rPr>
                <w:sz w:val="24"/>
                <w:szCs w:val="24"/>
              </w:rPr>
              <w:t>. Gli insegnanti apprezzano molto la possibilità di visitare imprese e soprattutto di dialogare con imprenditori e manager.</w:t>
            </w:r>
          </w:p>
        </w:tc>
      </w:tr>
      <w:tr w:rsidR="00F82363" w:rsidRPr="00A71BFE" w:rsidTr="00A71BFE">
        <w:tc>
          <w:tcPr>
            <w:tcW w:w="2518" w:type="dxa"/>
            <w:vAlign w:val="center"/>
          </w:tcPr>
          <w:p w:rsidR="00F82363" w:rsidRPr="00F2691B" w:rsidRDefault="00F82363" w:rsidP="00A71BFE">
            <w:pPr>
              <w:jc w:val="center"/>
              <w:rPr>
                <w:rFonts w:cs="Arial"/>
                <w:b/>
                <w:color w:val="000000"/>
                <w:sz w:val="24"/>
                <w:szCs w:val="24"/>
              </w:rPr>
            </w:pPr>
            <w:r w:rsidRPr="00F2691B">
              <w:rPr>
                <w:rFonts w:cs="Arial"/>
                <w:b/>
                <w:color w:val="000000"/>
                <w:sz w:val="24"/>
                <w:szCs w:val="24"/>
              </w:rPr>
              <w:t>BRESCIA</w:t>
            </w:r>
          </w:p>
        </w:tc>
        <w:tc>
          <w:tcPr>
            <w:tcW w:w="3827" w:type="dxa"/>
            <w:vAlign w:val="center"/>
          </w:tcPr>
          <w:p w:rsidR="00F82363" w:rsidRPr="00A71BFE" w:rsidRDefault="00F82363" w:rsidP="00A71BFE">
            <w:pPr>
              <w:jc w:val="center"/>
              <w:outlineLvl w:val="0"/>
              <w:rPr>
                <w:rFonts w:cs="Arial"/>
                <w:color w:val="000000"/>
                <w:sz w:val="24"/>
                <w:szCs w:val="24"/>
              </w:rPr>
            </w:pPr>
            <w:r w:rsidRPr="00A71BFE">
              <w:rPr>
                <w:rFonts w:cs="Arial"/>
                <w:color w:val="000000"/>
                <w:sz w:val="24"/>
                <w:szCs w:val="24"/>
              </w:rPr>
              <w:t xml:space="preserve">IMO – </w:t>
            </w:r>
            <w:r w:rsidR="00A71BFE">
              <w:rPr>
                <w:rFonts w:cs="Arial"/>
                <w:color w:val="000000"/>
                <w:sz w:val="24"/>
                <w:szCs w:val="24"/>
              </w:rPr>
              <w:t>L’Industria Meccanica a sostegno dell’O</w:t>
            </w:r>
            <w:r w:rsidR="00A71BFE" w:rsidRPr="00A71BFE">
              <w:rPr>
                <w:rFonts w:cs="Arial"/>
                <w:color w:val="000000"/>
                <w:sz w:val="24"/>
                <w:szCs w:val="24"/>
              </w:rPr>
              <w:t>ccupabilit</w:t>
            </w:r>
            <w:r w:rsidR="00A71BFE">
              <w:rPr>
                <w:rFonts w:cs="Arial"/>
                <w:color w:val="000000"/>
                <w:sz w:val="24"/>
                <w:szCs w:val="24"/>
              </w:rPr>
              <w:t>à</w:t>
            </w:r>
          </w:p>
        </w:tc>
        <w:tc>
          <w:tcPr>
            <w:tcW w:w="8157" w:type="dxa"/>
          </w:tcPr>
          <w:p w:rsidR="00F82363" w:rsidRPr="00A71BFE" w:rsidRDefault="00A71BFE" w:rsidP="00A71BFE">
            <w:pPr>
              <w:jc w:val="both"/>
              <w:rPr>
                <w:sz w:val="24"/>
                <w:szCs w:val="24"/>
              </w:rPr>
            </w:pPr>
            <w:r w:rsidRPr="00A71BFE">
              <w:rPr>
                <w:sz w:val="24"/>
                <w:szCs w:val="24"/>
              </w:rPr>
              <w:t>AIB partecipa al progetto IMO lanciato da Federmeccanica rivolto a migliorare la collaborazione e la progettazione dei percorsi di al</w:t>
            </w:r>
            <w:r w:rsidR="00F2691B">
              <w:rPr>
                <w:sz w:val="24"/>
                <w:szCs w:val="24"/>
              </w:rPr>
              <w:t>ternanza</w:t>
            </w:r>
            <w:r w:rsidRPr="00A71BFE">
              <w:rPr>
                <w:sz w:val="24"/>
                <w:szCs w:val="24"/>
              </w:rPr>
              <w:t xml:space="preserve"> con gli istituti tecnici del territorio con significative ricadute a livello di modellizzazione delle esperienze di alternanza. Collegato all’indagine sulle competenze, il progetto offre una panoramica delle skills professionali più richieste ai diplomati meccanici, elettronici, informatici e amministrativi in ingresso nel mondo del lavoro. Sul sito di AIB sono consultabili tutti i documenti (http://www.aib.bs.it/education/indagine_sulle_competenze___rapporto_2014).</w:t>
            </w:r>
          </w:p>
        </w:tc>
      </w:tr>
      <w:tr w:rsidR="00F82363" w:rsidRPr="00A71BFE" w:rsidTr="00A71BFE">
        <w:tc>
          <w:tcPr>
            <w:tcW w:w="2518" w:type="dxa"/>
            <w:vAlign w:val="center"/>
          </w:tcPr>
          <w:p w:rsidR="00F82363" w:rsidRPr="00F2691B" w:rsidRDefault="00F82363" w:rsidP="00A71BFE">
            <w:pPr>
              <w:jc w:val="center"/>
              <w:rPr>
                <w:rFonts w:cs="Arial"/>
                <w:b/>
                <w:color w:val="000000"/>
                <w:sz w:val="24"/>
                <w:szCs w:val="24"/>
              </w:rPr>
            </w:pPr>
            <w:r w:rsidRPr="00F2691B">
              <w:rPr>
                <w:rFonts w:cs="Arial"/>
                <w:b/>
                <w:color w:val="000000"/>
                <w:sz w:val="24"/>
                <w:szCs w:val="24"/>
              </w:rPr>
              <w:t>CHIETI-PESCARA</w:t>
            </w:r>
          </w:p>
        </w:tc>
        <w:tc>
          <w:tcPr>
            <w:tcW w:w="3827" w:type="dxa"/>
            <w:vAlign w:val="center"/>
          </w:tcPr>
          <w:p w:rsidR="00F82363" w:rsidRPr="00A71BFE" w:rsidRDefault="00F82363" w:rsidP="00A71BFE">
            <w:pPr>
              <w:jc w:val="center"/>
              <w:outlineLvl w:val="0"/>
              <w:rPr>
                <w:rFonts w:cs="Arial"/>
                <w:color w:val="000000"/>
                <w:sz w:val="24"/>
                <w:szCs w:val="24"/>
              </w:rPr>
            </w:pPr>
            <w:r w:rsidRPr="00A71BFE">
              <w:rPr>
                <w:rFonts w:cs="Arial"/>
                <w:color w:val="000000"/>
                <w:sz w:val="24"/>
                <w:szCs w:val="24"/>
              </w:rPr>
              <w:t>Progetto Minerva – da docente a manager</w:t>
            </w:r>
          </w:p>
        </w:tc>
        <w:tc>
          <w:tcPr>
            <w:tcW w:w="8157" w:type="dxa"/>
          </w:tcPr>
          <w:p w:rsidR="00F82363" w:rsidRPr="00A71BFE" w:rsidRDefault="00A71BFE" w:rsidP="00F2691B">
            <w:pPr>
              <w:jc w:val="both"/>
              <w:rPr>
                <w:sz w:val="24"/>
                <w:szCs w:val="24"/>
              </w:rPr>
            </w:pPr>
            <w:r w:rsidRPr="00A71BFE">
              <w:rPr>
                <w:sz w:val="24"/>
                <w:szCs w:val="24"/>
              </w:rPr>
              <w:t xml:space="preserve">Un percorso di </w:t>
            </w:r>
            <w:r w:rsidRPr="00F2691B">
              <w:rPr>
                <w:b/>
                <w:sz w:val="24"/>
                <w:szCs w:val="24"/>
              </w:rPr>
              <w:t xml:space="preserve">formazione manageriale gratuita </w:t>
            </w:r>
            <w:r w:rsidR="00F2691B" w:rsidRPr="00F2691B">
              <w:rPr>
                <w:b/>
                <w:sz w:val="24"/>
                <w:szCs w:val="24"/>
              </w:rPr>
              <w:t>per il</w:t>
            </w:r>
            <w:r w:rsidRPr="00F2691B">
              <w:rPr>
                <w:b/>
                <w:sz w:val="24"/>
                <w:szCs w:val="24"/>
              </w:rPr>
              <w:t xml:space="preserve"> tutoraggio di gruppi di studenti avviati all’alternanza scuola-lavoro, il cui obiettivo finale è stato quello di creare un primo nucleo di docenti – manager (19),</w:t>
            </w:r>
            <w:r w:rsidRPr="00A71BFE">
              <w:rPr>
                <w:sz w:val="24"/>
                <w:szCs w:val="24"/>
              </w:rPr>
              <w:t xml:space="preserve"> esperti in cultura d’impresa, orientati alla crescita ed allo sviluppo delle esperienze relazionali in età scolastica per la gestione progettuale condivisa tra scuola e sistema delle imprese. I temi affrontati: la valorizzazione delle risorse umane; la comunicazione interpersonale; la gestione del tempo e la motivazione. L'iniziativa coinvolge Insegnanti e dirigenti scolastici degli Istituti Secondari di secondo grado della Provincia di Pescara.</w:t>
            </w:r>
          </w:p>
        </w:tc>
      </w:tr>
      <w:tr w:rsidR="00F82363" w:rsidRPr="00A71BFE" w:rsidTr="00A71BFE">
        <w:tc>
          <w:tcPr>
            <w:tcW w:w="2518" w:type="dxa"/>
            <w:vAlign w:val="center"/>
          </w:tcPr>
          <w:p w:rsidR="00F82363" w:rsidRPr="00F2691B" w:rsidRDefault="00F82363" w:rsidP="00A71BFE">
            <w:pPr>
              <w:jc w:val="center"/>
              <w:rPr>
                <w:rFonts w:cs="Arial"/>
                <w:b/>
                <w:color w:val="000000"/>
                <w:sz w:val="24"/>
                <w:szCs w:val="24"/>
              </w:rPr>
            </w:pPr>
            <w:r w:rsidRPr="00F2691B">
              <w:rPr>
                <w:rFonts w:cs="Arial"/>
                <w:b/>
                <w:color w:val="000000"/>
                <w:sz w:val="24"/>
                <w:szCs w:val="24"/>
              </w:rPr>
              <w:t>COMO</w:t>
            </w:r>
          </w:p>
        </w:tc>
        <w:tc>
          <w:tcPr>
            <w:tcW w:w="3827" w:type="dxa"/>
            <w:vAlign w:val="center"/>
          </w:tcPr>
          <w:p w:rsidR="00F82363" w:rsidRPr="00A71BFE" w:rsidRDefault="00F82363" w:rsidP="00A71BFE">
            <w:pPr>
              <w:jc w:val="center"/>
              <w:outlineLvl w:val="0"/>
              <w:rPr>
                <w:rFonts w:cs="Arial"/>
                <w:color w:val="000000"/>
                <w:sz w:val="24"/>
                <w:szCs w:val="24"/>
              </w:rPr>
            </w:pPr>
            <w:r w:rsidRPr="00A71BFE">
              <w:rPr>
                <w:rFonts w:cs="Arial"/>
                <w:color w:val="000000"/>
                <w:sz w:val="24"/>
                <w:szCs w:val="24"/>
              </w:rPr>
              <w:t>Partire da vicino per andare lontano</w:t>
            </w:r>
          </w:p>
        </w:tc>
        <w:tc>
          <w:tcPr>
            <w:tcW w:w="8157" w:type="dxa"/>
          </w:tcPr>
          <w:p w:rsidR="00A71BFE" w:rsidRPr="00F2691B" w:rsidRDefault="00A71BFE" w:rsidP="00A71BFE">
            <w:pPr>
              <w:jc w:val="both"/>
              <w:rPr>
                <w:b/>
                <w:sz w:val="24"/>
                <w:szCs w:val="24"/>
              </w:rPr>
            </w:pPr>
            <w:r w:rsidRPr="00A71BFE">
              <w:rPr>
                <w:sz w:val="24"/>
                <w:szCs w:val="24"/>
              </w:rPr>
              <w:t xml:space="preserve">Unindustria Como , unitamente al Tavolo interassociativo per l’orientamento, ha promosso la </w:t>
            </w:r>
            <w:r w:rsidRPr="00F2691B">
              <w:rPr>
                <w:b/>
                <w:sz w:val="24"/>
                <w:szCs w:val="24"/>
              </w:rPr>
              <w:t>possibilità per i docenti delle scuole medie responsabili della funzione di orientamento di incontrare</w:t>
            </w:r>
            <w:r w:rsidRPr="00A71BFE">
              <w:rPr>
                <w:sz w:val="24"/>
                <w:szCs w:val="24"/>
              </w:rPr>
              <w:t xml:space="preserve">, in 5 occasioni distribuite sulle macroaree della Provincia e poi in un incontro plenario in CCIAA, </w:t>
            </w:r>
            <w:r w:rsidRPr="00F2691B">
              <w:rPr>
                <w:b/>
                <w:sz w:val="24"/>
                <w:szCs w:val="24"/>
              </w:rPr>
              <w:t>imprenditori e orientatori professionisti, al fine di poter approfondire le conoscenze riguardanti le aziende ed il territorio comasco.</w:t>
            </w:r>
          </w:p>
          <w:p w:rsidR="00F82363" w:rsidRPr="00A71BFE" w:rsidRDefault="00A71BFE" w:rsidP="00A71BFE">
            <w:pPr>
              <w:jc w:val="both"/>
              <w:rPr>
                <w:sz w:val="24"/>
                <w:szCs w:val="24"/>
              </w:rPr>
            </w:pPr>
            <w:r w:rsidRPr="00A71BFE">
              <w:rPr>
                <w:sz w:val="24"/>
                <w:szCs w:val="24"/>
              </w:rPr>
              <w:t xml:space="preserve">Sono stati coinvolti circa 120 docenti appartenenti a 40 scuole secondarie di primo grado. Il progetto ha poi visto anche 15 visite aziendali per circa 80 </w:t>
            </w:r>
            <w:r w:rsidRPr="00A71BFE">
              <w:rPr>
                <w:sz w:val="24"/>
                <w:szCs w:val="24"/>
              </w:rPr>
              <w:lastRenderedPageBreak/>
              <w:t>docenti.</w:t>
            </w:r>
          </w:p>
        </w:tc>
      </w:tr>
      <w:tr w:rsidR="00F82363" w:rsidRPr="00A71BFE" w:rsidTr="00A71BFE">
        <w:tc>
          <w:tcPr>
            <w:tcW w:w="2518" w:type="dxa"/>
            <w:vAlign w:val="center"/>
          </w:tcPr>
          <w:p w:rsidR="00F82363" w:rsidRPr="00F2691B" w:rsidRDefault="00F82363" w:rsidP="00A71BFE">
            <w:pPr>
              <w:jc w:val="center"/>
              <w:rPr>
                <w:rFonts w:cs="Arial"/>
                <w:b/>
                <w:color w:val="000000"/>
                <w:sz w:val="24"/>
                <w:szCs w:val="24"/>
              </w:rPr>
            </w:pPr>
            <w:r w:rsidRPr="00F2691B">
              <w:rPr>
                <w:rFonts w:cs="Arial"/>
                <w:b/>
                <w:color w:val="000000"/>
                <w:sz w:val="24"/>
                <w:szCs w:val="24"/>
              </w:rPr>
              <w:lastRenderedPageBreak/>
              <w:t>CONFINDUSTRIA CERAMICA</w:t>
            </w:r>
          </w:p>
        </w:tc>
        <w:tc>
          <w:tcPr>
            <w:tcW w:w="3827" w:type="dxa"/>
            <w:vAlign w:val="center"/>
          </w:tcPr>
          <w:p w:rsidR="00F82363" w:rsidRPr="00A71BFE" w:rsidRDefault="00F82363" w:rsidP="00A71BFE">
            <w:pPr>
              <w:jc w:val="center"/>
              <w:outlineLvl w:val="0"/>
              <w:rPr>
                <w:rFonts w:cs="Arial"/>
                <w:color w:val="000000"/>
                <w:sz w:val="24"/>
                <w:szCs w:val="24"/>
              </w:rPr>
            </w:pPr>
            <w:r w:rsidRPr="00A71BFE">
              <w:rPr>
                <w:rFonts w:cs="Arial"/>
                <w:color w:val="000000"/>
                <w:sz w:val="24"/>
                <w:szCs w:val="24"/>
              </w:rPr>
              <w:t>Insegnanti tra i banchi…</w:t>
            </w:r>
            <w:r w:rsidR="00F2691B">
              <w:rPr>
                <w:rFonts w:cs="Arial"/>
                <w:color w:val="000000"/>
                <w:sz w:val="24"/>
                <w:szCs w:val="24"/>
              </w:rPr>
              <w:t xml:space="preserve"> </w:t>
            </w:r>
            <w:r w:rsidRPr="00A71BFE">
              <w:rPr>
                <w:rFonts w:cs="Arial"/>
                <w:color w:val="000000"/>
                <w:sz w:val="24"/>
                <w:szCs w:val="24"/>
              </w:rPr>
              <w:t>che IMPRESA!</w:t>
            </w:r>
          </w:p>
        </w:tc>
        <w:tc>
          <w:tcPr>
            <w:tcW w:w="8157" w:type="dxa"/>
          </w:tcPr>
          <w:p w:rsidR="00F82363" w:rsidRPr="00A71BFE" w:rsidRDefault="00A71BFE" w:rsidP="00A71BFE">
            <w:pPr>
              <w:jc w:val="both"/>
              <w:rPr>
                <w:sz w:val="24"/>
                <w:szCs w:val="24"/>
              </w:rPr>
            </w:pPr>
            <w:r w:rsidRPr="00A71BFE">
              <w:rPr>
                <w:sz w:val="24"/>
                <w:szCs w:val="24"/>
              </w:rPr>
              <w:t xml:space="preserve">Si tratta di un </w:t>
            </w:r>
            <w:r w:rsidRPr="00F2691B">
              <w:rPr>
                <w:b/>
                <w:sz w:val="24"/>
                <w:szCs w:val="24"/>
              </w:rPr>
              <w:t>corso di formazione per insegnanti sulla cultura di impresa e di aggiornamento sull’industria ceramica</w:t>
            </w:r>
            <w:r w:rsidRPr="00A71BFE">
              <w:rPr>
                <w:sz w:val="24"/>
                <w:szCs w:val="24"/>
              </w:rPr>
              <w:t>. Questo percorso formativo ha permesso una nuova occasione di dialogo tra la scuola e l’impresa per valorizzare e socializzare le positive esperienze dei percorsi di formazione a “ispirazione ceramica” realizzati da qualche anno con gli istituti superiori del distretto ceramico.</w:t>
            </w:r>
          </w:p>
        </w:tc>
      </w:tr>
      <w:tr w:rsidR="00F82363" w:rsidRPr="00A71BFE" w:rsidTr="00A71BFE">
        <w:tc>
          <w:tcPr>
            <w:tcW w:w="2518" w:type="dxa"/>
            <w:vAlign w:val="center"/>
          </w:tcPr>
          <w:p w:rsidR="00F82363" w:rsidRPr="00F2691B" w:rsidRDefault="00F82363" w:rsidP="00A71BFE">
            <w:pPr>
              <w:jc w:val="center"/>
              <w:rPr>
                <w:rFonts w:cs="Arial"/>
                <w:b/>
                <w:color w:val="000000"/>
                <w:sz w:val="24"/>
                <w:szCs w:val="24"/>
              </w:rPr>
            </w:pPr>
            <w:r w:rsidRPr="00F2691B">
              <w:rPr>
                <w:rFonts w:cs="Arial"/>
                <w:b/>
                <w:color w:val="000000"/>
                <w:sz w:val="24"/>
                <w:szCs w:val="24"/>
              </w:rPr>
              <w:t>FEDERMECCANICA</w:t>
            </w:r>
          </w:p>
        </w:tc>
        <w:tc>
          <w:tcPr>
            <w:tcW w:w="3827" w:type="dxa"/>
            <w:vAlign w:val="center"/>
          </w:tcPr>
          <w:p w:rsidR="00F82363" w:rsidRPr="00A71BFE" w:rsidRDefault="00A71BFE" w:rsidP="00A71BFE">
            <w:pPr>
              <w:jc w:val="center"/>
              <w:outlineLvl w:val="0"/>
              <w:rPr>
                <w:rFonts w:cs="Arial"/>
                <w:color w:val="000000"/>
                <w:sz w:val="24"/>
                <w:szCs w:val="24"/>
              </w:rPr>
            </w:pPr>
            <w:r w:rsidRPr="00A71BFE">
              <w:rPr>
                <w:rFonts w:cs="Arial"/>
                <w:color w:val="000000"/>
                <w:sz w:val="24"/>
                <w:szCs w:val="24"/>
              </w:rPr>
              <w:t xml:space="preserve">IMO – </w:t>
            </w:r>
            <w:r>
              <w:rPr>
                <w:rFonts w:cs="Arial"/>
                <w:color w:val="000000"/>
                <w:sz w:val="24"/>
                <w:szCs w:val="24"/>
              </w:rPr>
              <w:t>L’Industria Meccanica a sostegno dell’O</w:t>
            </w:r>
            <w:r w:rsidRPr="00A71BFE">
              <w:rPr>
                <w:rFonts w:cs="Arial"/>
                <w:color w:val="000000"/>
                <w:sz w:val="24"/>
                <w:szCs w:val="24"/>
              </w:rPr>
              <w:t>ccupabilit</w:t>
            </w:r>
            <w:r>
              <w:rPr>
                <w:rFonts w:cs="Arial"/>
                <w:color w:val="000000"/>
                <w:sz w:val="24"/>
                <w:szCs w:val="24"/>
              </w:rPr>
              <w:t>à</w:t>
            </w:r>
          </w:p>
        </w:tc>
        <w:tc>
          <w:tcPr>
            <w:tcW w:w="8157" w:type="dxa"/>
          </w:tcPr>
          <w:p w:rsidR="00F82363" w:rsidRPr="00A71BFE" w:rsidRDefault="00A71BFE" w:rsidP="00A71BFE">
            <w:pPr>
              <w:jc w:val="both"/>
              <w:rPr>
                <w:sz w:val="24"/>
                <w:szCs w:val="24"/>
              </w:rPr>
            </w:pPr>
            <w:r w:rsidRPr="00A71BFE">
              <w:rPr>
                <w:sz w:val="24"/>
                <w:szCs w:val="24"/>
              </w:rPr>
              <w:t xml:space="preserve">Il progetto vuole sviluppare il ricorso mirato alle esperienze di alternanza definendo da un lato percorsi di alternanza co-progettati da scuole e imprese, percorsi di placement degli studenti centrati sulla valutazione e valorizzazione delle competenze acquisite a scuola e in alternanza e sperimentando dall’altro sia l’utilizzo dell’azienda come “laboratorio” che </w:t>
            </w:r>
            <w:r w:rsidRPr="00F2691B">
              <w:rPr>
                <w:b/>
                <w:sz w:val="24"/>
                <w:szCs w:val="24"/>
              </w:rPr>
              <w:t>l’aggiornamento dei docenti attraverso tirocini aziendali.</w:t>
            </w:r>
            <w:r w:rsidRPr="00A71BFE">
              <w:rPr>
                <w:sz w:val="24"/>
                <w:szCs w:val="24"/>
              </w:rPr>
              <w:t xml:space="preserve"> Le azioni previste variano dalla promozione della didattica laboratoriale e dell’alternanza scuola-lavoro, alla realizzazione di stage per i docenti fino alla formazione di esperti di mediazione e integrazione che siano in grado, in collaborazione con la scuola, di aiutare gli studenti ad attivare gli strumenti, le tecniche e i canali di placement più efficaci.</w:t>
            </w:r>
          </w:p>
        </w:tc>
      </w:tr>
      <w:tr w:rsidR="00F82363" w:rsidRPr="00A71BFE" w:rsidTr="00A71BFE">
        <w:tc>
          <w:tcPr>
            <w:tcW w:w="2518" w:type="dxa"/>
            <w:vAlign w:val="center"/>
          </w:tcPr>
          <w:p w:rsidR="00F82363" w:rsidRPr="00F2691B" w:rsidRDefault="00F82363" w:rsidP="00A71BFE">
            <w:pPr>
              <w:jc w:val="center"/>
              <w:rPr>
                <w:rFonts w:cs="Arial"/>
                <w:b/>
                <w:color w:val="000000"/>
                <w:sz w:val="24"/>
                <w:szCs w:val="24"/>
              </w:rPr>
            </w:pPr>
            <w:r w:rsidRPr="00F2691B">
              <w:rPr>
                <w:rFonts w:cs="Arial"/>
                <w:b/>
                <w:color w:val="000000"/>
                <w:sz w:val="24"/>
                <w:szCs w:val="24"/>
              </w:rPr>
              <w:t>FERMO</w:t>
            </w:r>
          </w:p>
        </w:tc>
        <w:tc>
          <w:tcPr>
            <w:tcW w:w="3827" w:type="dxa"/>
            <w:vAlign w:val="center"/>
          </w:tcPr>
          <w:p w:rsidR="00F82363" w:rsidRPr="00A71BFE" w:rsidRDefault="00F82363" w:rsidP="00A71BFE">
            <w:pPr>
              <w:jc w:val="center"/>
              <w:outlineLvl w:val="0"/>
              <w:rPr>
                <w:rFonts w:cs="Arial"/>
                <w:color w:val="000000"/>
                <w:sz w:val="24"/>
                <w:szCs w:val="24"/>
              </w:rPr>
            </w:pPr>
            <w:r w:rsidRPr="00A71BFE">
              <w:rPr>
                <w:rFonts w:cs="Arial"/>
                <w:color w:val="000000"/>
                <w:sz w:val="24"/>
                <w:szCs w:val="24"/>
              </w:rPr>
              <w:t>Un ponte tra scuole ed imprese</w:t>
            </w:r>
          </w:p>
        </w:tc>
        <w:tc>
          <w:tcPr>
            <w:tcW w:w="8157" w:type="dxa"/>
          </w:tcPr>
          <w:p w:rsidR="00F82363" w:rsidRPr="00A71BFE" w:rsidRDefault="00A71BFE" w:rsidP="00A71BFE">
            <w:pPr>
              <w:jc w:val="both"/>
              <w:rPr>
                <w:sz w:val="24"/>
                <w:szCs w:val="24"/>
              </w:rPr>
            </w:pPr>
            <w:r w:rsidRPr="00A71BFE">
              <w:rPr>
                <w:sz w:val="24"/>
                <w:szCs w:val="24"/>
              </w:rPr>
              <w:t xml:space="preserve">Il progetto prevede stage per gli studenti presso le aziende associate e Confindustria Fermo, </w:t>
            </w:r>
            <w:r w:rsidRPr="00F2691B">
              <w:rPr>
                <w:b/>
                <w:sz w:val="24"/>
                <w:szCs w:val="24"/>
              </w:rPr>
              <w:t>stage per i professori delle scuole secondarie di secondo grado presso le aziende associate</w:t>
            </w:r>
            <w:r w:rsidRPr="00A71BFE">
              <w:rPr>
                <w:sz w:val="24"/>
                <w:szCs w:val="24"/>
              </w:rPr>
              <w:t xml:space="preserve"> e testimonianze di imprenditori presso le principali scuole fermane.</w:t>
            </w:r>
          </w:p>
        </w:tc>
      </w:tr>
      <w:tr w:rsidR="00F82363" w:rsidRPr="00A71BFE" w:rsidTr="00A71BFE">
        <w:tc>
          <w:tcPr>
            <w:tcW w:w="2518" w:type="dxa"/>
            <w:vAlign w:val="center"/>
          </w:tcPr>
          <w:p w:rsidR="00F82363" w:rsidRPr="00F2691B" w:rsidRDefault="00F82363" w:rsidP="00A71BFE">
            <w:pPr>
              <w:jc w:val="center"/>
              <w:rPr>
                <w:rFonts w:cs="Arial"/>
                <w:b/>
                <w:color w:val="000000"/>
                <w:sz w:val="24"/>
                <w:szCs w:val="24"/>
              </w:rPr>
            </w:pPr>
            <w:r w:rsidRPr="00F2691B">
              <w:rPr>
                <w:rFonts w:cs="Arial"/>
                <w:b/>
                <w:color w:val="000000"/>
                <w:sz w:val="24"/>
                <w:szCs w:val="24"/>
              </w:rPr>
              <w:t>GENOVA</w:t>
            </w:r>
          </w:p>
        </w:tc>
        <w:tc>
          <w:tcPr>
            <w:tcW w:w="3827" w:type="dxa"/>
            <w:vAlign w:val="center"/>
          </w:tcPr>
          <w:p w:rsidR="00F82363" w:rsidRPr="00A71BFE" w:rsidRDefault="00F82363" w:rsidP="00A71BFE">
            <w:pPr>
              <w:jc w:val="center"/>
              <w:outlineLvl w:val="0"/>
              <w:rPr>
                <w:rFonts w:cs="Arial"/>
                <w:color w:val="000000"/>
                <w:sz w:val="24"/>
                <w:szCs w:val="24"/>
              </w:rPr>
            </w:pPr>
            <w:r w:rsidRPr="00A71BFE">
              <w:rPr>
                <w:rFonts w:cs="Arial"/>
                <w:color w:val="000000"/>
                <w:sz w:val="24"/>
                <w:szCs w:val="24"/>
              </w:rPr>
              <w:t>Progetto Stage Docenti in Azienda</w:t>
            </w:r>
          </w:p>
        </w:tc>
        <w:tc>
          <w:tcPr>
            <w:tcW w:w="8157" w:type="dxa"/>
          </w:tcPr>
          <w:p w:rsidR="00F82363" w:rsidRPr="00A71BFE" w:rsidRDefault="00A71BFE" w:rsidP="00A71BFE">
            <w:pPr>
              <w:jc w:val="both"/>
              <w:rPr>
                <w:sz w:val="24"/>
                <w:szCs w:val="24"/>
              </w:rPr>
            </w:pPr>
            <w:r w:rsidRPr="00A71BFE">
              <w:rPr>
                <w:sz w:val="24"/>
                <w:szCs w:val="24"/>
              </w:rPr>
              <w:t xml:space="preserve">Il Progetto, giunto alla sua quarta edizione (in partenza a settembre 2014) è portato avanti in partnership con l’Ufficio Scolastico Regionale per la Liguria e mira ad un </w:t>
            </w:r>
            <w:r w:rsidRPr="00F2691B">
              <w:rPr>
                <w:b/>
                <w:sz w:val="24"/>
                <w:szCs w:val="24"/>
              </w:rPr>
              <w:t>“orientamento” degli insegnanti</w:t>
            </w:r>
            <w:r w:rsidRPr="00A71BFE">
              <w:rPr>
                <w:sz w:val="24"/>
                <w:szCs w:val="24"/>
              </w:rPr>
              <w:t xml:space="preserve"> attraverso un percorso strutturato che prevede: 1) scelta da parte degli insegnanti del settore imprenditoriale e degli argomenti tecnici da affrontare durante lo stage in azienda; 2) attivazione di un percorso formativo su vari temi di interesse aziendale (competenze, marketing, comunicazione ecc.) fatto all’interno della sede di Confindustria Genova; 3) veri e propri stage in azienda per insegnanti (in gruppi da massimo 4 persone), durante i quali sviluppano specifiche tematiche tecniche da loro richieste. Dopo lo stage dei professori in azienda, vengono effettuate, altresì, visite di scolaresche in azienda o seminari a scuola. Nei primi tre anni di attività il </w:t>
            </w:r>
            <w:r w:rsidRPr="00A71BFE">
              <w:rPr>
                <w:sz w:val="24"/>
                <w:szCs w:val="24"/>
              </w:rPr>
              <w:lastRenderedPageBreak/>
              <w:t>Progetto ha coinvolto circa 300 professori e 90 imprese associate. Sono coinvolti Insegnanti degli Istituti Tecnici, Professionali, Licei e Comprensivi della Provincia di Genova</w:t>
            </w:r>
          </w:p>
        </w:tc>
      </w:tr>
      <w:tr w:rsidR="00F82363" w:rsidRPr="00A71BFE" w:rsidTr="00A71BFE">
        <w:tc>
          <w:tcPr>
            <w:tcW w:w="2518" w:type="dxa"/>
            <w:vAlign w:val="center"/>
          </w:tcPr>
          <w:p w:rsidR="00F82363" w:rsidRPr="00F2691B" w:rsidRDefault="00F82363" w:rsidP="00A71BFE">
            <w:pPr>
              <w:jc w:val="center"/>
              <w:rPr>
                <w:rFonts w:cs="Arial"/>
                <w:b/>
                <w:color w:val="000000"/>
                <w:sz w:val="24"/>
                <w:szCs w:val="24"/>
              </w:rPr>
            </w:pPr>
            <w:r w:rsidRPr="00F2691B">
              <w:rPr>
                <w:rFonts w:cs="Arial"/>
                <w:b/>
                <w:color w:val="000000"/>
                <w:sz w:val="24"/>
                <w:szCs w:val="24"/>
              </w:rPr>
              <w:lastRenderedPageBreak/>
              <w:t>IVREA</w:t>
            </w:r>
          </w:p>
        </w:tc>
        <w:tc>
          <w:tcPr>
            <w:tcW w:w="3827" w:type="dxa"/>
            <w:vAlign w:val="center"/>
          </w:tcPr>
          <w:p w:rsidR="00F82363" w:rsidRPr="00A71BFE" w:rsidRDefault="00F82363" w:rsidP="00A71BFE">
            <w:pPr>
              <w:jc w:val="center"/>
              <w:outlineLvl w:val="0"/>
              <w:rPr>
                <w:rFonts w:cs="Arial"/>
                <w:color w:val="000000"/>
                <w:sz w:val="24"/>
                <w:szCs w:val="24"/>
              </w:rPr>
            </w:pPr>
            <w:r w:rsidRPr="00A71BFE">
              <w:rPr>
                <w:rFonts w:cs="Arial"/>
                <w:color w:val="000000"/>
                <w:sz w:val="24"/>
                <w:szCs w:val="24"/>
              </w:rPr>
              <w:t>Orientamento all’imprenditorialità</w:t>
            </w:r>
          </w:p>
        </w:tc>
        <w:tc>
          <w:tcPr>
            <w:tcW w:w="8157" w:type="dxa"/>
          </w:tcPr>
          <w:p w:rsidR="00F82363" w:rsidRPr="00A71BFE" w:rsidRDefault="00A71BFE" w:rsidP="00A71BFE">
            <w:pPr>
              <w:jc w:val="both"/>
              <w:rPr>
                <w:sz w:val="24"/>
                <w:szCs w:val="24"/>
              </w:rPr>
            </w:pPr>
            <w:r w:rsidRPr="00A71BFE">
              <w:rPr>
                <w:sz w:val="24"/>
                <w:szCs w:val="24"/>
              </w:rPr>
              <w:t xml:space="preserve">L'iniziativa vuole </w:t>
            </w:r>
            <w:r w:rsidRPr="00F2691B">
              <w:rPr>
                <w:b/>
                <w:sz w:val="24"/>
                <w:szCs w:val="24"/>
              </w:rPr>
              <w:t>fornire ai docenti nozioni e strumenti concreti da utilizzare nell’ambito della loro attività di formatori per aiutare gli studenti a sviluppare le proprie “attitudini imprenditoriali”</w:t>
            </w:r>
            <w:r w:rsidRPr="00A71BFE">
              <w:rPr>
                <w:sz w:val="24"/>
                <w:szCs w:val="24"/>
              </w:rPr>
              <w:t>, ossia la capacità di riconoscere le opportunità e di intraprendere delle azioni coerenti per raggiungere un determinato obiettivo, investendo, valutando i rischi connessi, superando la paura delle incognite. L'iniziativa si rivolge a Studenti ed insegnanti delle Scuole medie inferiori e superiori del territorio.</w:t>
            </w:r>
          </w:p>
        </w:tc>
      </w:tr>
      <w:tr w:rsidR="00F82363" w:rsidRPr="00A71BFE" w:rsidTr="00A71BFE">
        <w:tc>
          <w:tcPr>
            <w:tcW w:w="2518" w:type="dxa"/>
            <w:vAlign w:val="center"/>
          </w:tcPr>
          <w:p w:rsidR="00F82363" w:rsidRPr="00F2691B" w:rsidRDefault="00F82363" w:rsidP="00A71BFE">
            <w:pPr>
              <w:jc w:val="center"/>
              <w:rPr>
                <w:rFonts w:cs="Arial"/>
                <w:b/>
                <w:color w:val="000000"/>
                <w:sz w:val="24"/>
                <w:szCs w:val="24"/>
              </w:rPr>
            </w:pPr>
            <w:r w:rsidRPr="00F2691B">
              <w:rPr>
                <w:rFonts w:cs="Arial"/>
                <w:b/>
                <w:color w:val="000000"/>
                <w:sz w:val="24"/>
                <w:szCs w:val="24"/>
              </w:rPr>
              <w:t>LUCCA</w:t>
            </w:r>
          </w:p>
        </w:tc>
        <w:tc>
          <w:tcPr>
            <w:tcW w:w="3827" w:type="dxa"/>
            <w:vAlign w:val="center"/>
          </w:tcPr>
          <w:p w:rsidR="00F82363" w:rsidRPr="00A71BFE" w:rsidRDefault="00F82363" w:rsidP="00A71BFE">
            <w:pPr>
              <w:jc w:val="center"/>
              <w:outlineLvl w:val="0"/>
              <w:rPr>
                <w:rFonts w:cs="Arial"/>
                <w:color w:val="000000"/>
                <w:sz w:val="24"/>
                <w:szCs w:val="24"/>
              </w:rPr>
            </w:pPr>
            <w:r w:rsidRPr="00A71BFE">
              <w:rPr>
                <w:rFonts w:cs="Arial"/>
                <w:color w:val="000000"/>
                <w:sz w:val="24"/>
                <w:szCs w:val="24"/>
              </w:rPr>
              <w:t>Laboratori di sicurezza</w:t>
            </w:r>
          </w:p>
        </w:tc>
        <w:tc>
          <w:tcPr>
            <w:tcW w:w="8157" w:type="dxa"/>
          </w:tcPr>
          <w:p w:rsidR="00F82363" w:rsidRPr="00A71BFE" w:rsidRDefault="00F2691B" w:rsidP="00F2691B">
            <w:pPr>
              <w:jc w:val="both"/>
              <w:rPr>
                <w:sz w:val="24"/>
                <w:szCs w:val="24"/>
              </w:rPr>
            </w:pPr>
            <w:r>
              <w:rPr>
                <w:sz w:val="24"/>
                <w:szCs w:val="24"/>
              </w:rPr>
              <w:t xml:space="preserve">Il Progetto </w:t>
            </w:r>
            <w:r w:rsidR="00A71BFE" w:rsidRPr="00A71BFE">
              <w:rPr>
                <w:sz w:val="24"/>
                <w:szCs w:val="24"/>
              </w:rPr>
              <w:t xml:space="preserve">mira ad incrementare la cultura della </w:t>
            </w:r>
            <w:r w:rsidR="00A71BFE" w:rsidRPr="00F2691B">
              <w:rPr>
                <w:b/>
                <w:sz w:val="24"/>
                <w:szCs w:val="24"/>
              </w:rPr>
              <w:t>sicurezza nei luoghi di lavoro</w:t>
            </w:r>
            <w:r w:rsidR="00A71BFE" w:rsidRPr="00A71BFE">
              <w:rPr>
                <w:sz w:val="24"/>
                <w:szCs w:val="24"/>
              </w:rPr>
              <w:t xml:space="preserve"> attraverso la </w:t>
            </w:r>
            <w:r w:rsidR="00A71BFE" w:rsidRPr="00F2691B">
              <w:rPr>
                <w:b/>
                <w:sz w:val="24"/>
                <w:szCs w:val="24"/>
              </w:rPr>
              <w:t>formazione dei docenti</w:t>
            </w:r>
            <w:r w:rsidR="00A71BFE" w:rsidRPr="00A71BFE">
              <w:rPr>
                <w:sz w:val="24"/>
                <w:szCs w:val="24"/>
              </w:rPr>
              <w:t xml:space="preserve"> e degli studenti degli istituti superiori coinvolti nell’Alternanza Scuola-Lavoro.</w:t>
            </w:r>
          </w:p>
        </w:tc>
      </w:tr>
      <w:tr w:rsidR="00F82363" w:rsidRPr="00A71BFE" w:rsidTr="00A71BFE">
        <w:tc>
          <w:tcPr>
            <w:tcW w:w="2518" w:type="dxa"/>
            <w:vAlign w:val="center"/>
          </w:tcPr>
          <w:p w:rsidR="00F82363" w:rsidRPr="00F2691B" w:rsidRDefault="00F82363" w:rsidP="00A71BFE">
            <w:pPr>
              <w:jc w:val="center"/>
              <w:rPr>
                <w:rFonts w:cs="Arial"/>
                <w:b/>
                <w:color w:val="000000"/>
                <w:sz w:val="24"/>
                <w:szCs w:val="24"/>
              </w:rPr>
            </w:pPr>
            <w:r w:rsidRPr="00F2691B">
              <w:rPr>
                <w:rFonts w:cs="Arial"/>
                <w:b/>
                <w:color w:val="000000"/>
                <w:sz w:val="24"/>
                <w:szCs w:val="24"/>
              </w:rPr>
              <w:t>NOVARA</w:t>
            </w:r>
          </w:p>
        </w:tc>
        <w:tc>
          <w:tcPr>
            <w:tcW w:w="3827" w:type="dxa"/>
            <w:vAlign w:val="center"/>
          </w:tcPr>
          <w:p w:rsidR="00F82363" w:rsidRPr="00A71BFE" w:rsidRDefault="00F82363" w:rsidP="00A71BFE">
            <w:pPr>
              <w:jc w:val="center"/>
              <w:outlineLvl w:val="0"/>
              <w:rPr>
                <w:rFonts w:cs="Arial"/>
                <w:color w:val="000000"/>
                <w:sz w:val="24"/>
                <w:szCs w:val="24"/>
              </w:rPr>
            </w:pPr>
            <w:r w:rsidRPr="00A71BFE">
              <w:rPr>
                <w:rFonts w:cs="Arial"/>
                <w:color w:val="000000"/>
                <w:sz w:val="24"/>
                <w:szCs w:val="24"/>
              </w:rPr>
              <w:t>Formazione insegnanti sulla “</w:t>
            </w:r>
            <w:r w:rsidR="00A71BFE" w:rsidRPr="00A71BFE">
              <w:rPr>
                <w:rFonts w:cs="Arial"/>
                <w:color w:val="000000"/>
                <w:sz w:val="24"/>
                <w:szCs w:val="24"/>
              </w:rPr>
              <w:t>Lean Organization</w:t>
            </w:r>
            <w:r w:rsidRPr="00A71BFE">
              <w:rPr>
                <w:rFonts w:cs="Arial"/>
                <w:color w:val="000000"/>
                <w:sz w:val="24"/>
                <w:szCs w:val="24"/>
              </w:rPr>
              <w:t>”</w:t>
            </w:r>
          </w:p>
        </w:tc>
        <w:tc>
          <w:tcPr>
            <w:tcW w:w="8157" w:type="dxa"/>
          </w:tcPr>
          <w:p w:rsidR="00F82363" w:rsidRPr="00A71BFE" w:rsidRDefault="00A71BFE" w:rsidP="00A71BFE">
            <w:pPr>
              <w:jc w:val="both"/>
              <w:rPr>
                <w:sz w:val="24"/>
                <w:szCs w:val="24"/>
              </w:rPr>
            </w:pPr>
            <w:r w:rsidRPr="00A71BFE">
              <w:rPr>
                <w:sz w:val="24"/>
                <w:szCs w:val="24"/>
              </w:rPr>
              <w:t xml:space="preserve">In un’ottica di consolidamento del raccordo tra mondo della scuola e mercato del lavoro l’Associazione Industriali di Novara ha fornito il supporto operativo alla Camera di Commercio di Novara per l’organizzazione di un </w:t>
            </w:r>
            <w:r w:rsidRPr="00F2691B">
              <w:rPr>
                <w:b/>
                <w:sz w:val="24"/>
                <w:szCs w:val="24"/>
              </w:rPr>
              <w:t>corso di formazione sull’insegnamento della metodologia “Lean” (o del miglioramento continuo) in ambito produttivo dedicato ai docenti</w:t>
            </w:r>
            <w:r w:rsidRPr="00A71BFE">
              <w:rPr>
                <w:sz w:val="24"/>
                <w:szCs w:val="24"/>
              </w:rPr>
              <w:t xml:space="preserve"> di tre istituti tecnici provinciali che a loro volta hanno inserito l’attività nei percorsi didattici scolastici formando oltre 150 studenti.  In alcune di queste scuole i contenuti del corso saranno inseriti stabilmente nel Piano formativo a partire dal prossimo anno scolastico.</w:t>
            </w:r>
          </w:p>
        </w:tc>
      </w:tr>
      <w:tr w:rsidR="00F82363" w:rsidRPr="00A71BFE" w:rsidTr="00A71BFE">
        <w:tc>
          <w:tcPr>
            <w:tcW w:w="2518" w:type="dxa"/>
            <w:vAlign w:val="center"/>
          </w:tcPr>
          <w:p w:rsidR="00F82363" w:rsidRPr="00F2691B" w:rsidRDefault="00F82363" w:rsidP="00A71BFE">
            <w:pPr>
              <w:jc w:val="center"/>
              <w:rPr>
                <w:rFonts w:cs="Arial"/>
                <w:b/>
                <w:color w:val="000000"/>
                <w:sz w:val="24"/>
                <w:szCs w:val="24"/>
              </w:rPr>
            </w:pPr>
            <w:r w:rsidRPr="00F2691B">
              <w:rPr>
                <w:rFonts w:cs="Arial"/>
                <w:b/>
                <w:color w:val="000000"/>
                <w:sz w:val="24"/>
                <w:szCs w:val="24"/>
              </w:rPr>
              <w:t>PALERMO</w:t>
            </w:r>
          </w:p>
        </w:tc>
        <w:tc>
          <w:tcPr>
            <w:tcW w:w="3827" w:type="dxa"/>
            <w:vAlign w:val="center"/>
          </w:tcPr>
          <w:p w:rsidR="00F82363" w:rsidRPr="00A71BFE" w:rsidRDefault="00F82363" w:rsidP="00A71BFE">
            <w:pPr>
              <w:jc w:val="center"/>
              <w:outlineLvl w:val="0"/>
              <w:rPr>
                <w:rFonts w:cs="Arial"/>
                <w:color w:val="000000"/>
                <w:sz w:val="24"/>
                <w:szCs w:val="24"/>
              </w:rPr>
            </w:pPr>
            <w:r w:rsidRPr="00A71BFE">
              <w:rPr>
                <w:rFonts w:cs="Arial"/>
                <w:color w:val="000000"/>
                <w:sz w:val="24"/>
                <w:szCs w:val="24"/>
              </w:rPr>
              <w:t>Posso ... Non Posso ... Vado! Rev.2</w:t>
            </w:r>
          </w:p>
        </w:tc>
        <w:tc>
          <w:tcPr>
            <w:tcW w:w="8157" w:type="dxa"/>
          </w:tcPr>
          <w:p w:rsidR="00F82363" w:rsidRPr="00A71BFE" w:rsidRDefault="00A71BFE" w:rsidP="00A71BFE">
            <w:pPr>
              <w:jc w:val="both"/>
              <w:rPr>
                <w:sz w:val="24"/>
                <w:szCs w:val="24"/>
              </w:rPr>
            </w:pPr>
            <w:r w:rsidRPr="00A71BFE">
              <w:rPr>
                <w:sz w:val="24"/>
                <w:szCs w:val="24"/>
              </w:rPr>
              <w:t xml:space="preserve">Il progetto, finanziato all’interno del programma Leonardo da Vinci, ha promosso e sviluppato un modello di orientamento e formazione imprenditoriale per consentire ai giovani di riflettere sul proprio progetto di vita. E’ stato sperimentato quindi un modello formativo, che ha visto il coinvolgimento di 7 organizzazioni appartenenti a 4 paesi dell’UE, per il rafforzamento delle competenze imprenditoriali alternando attività di studio in presenza e attività online basata sull’utilizzo di un serious game per la gestione di un villaggio turistico. Sono stati coinvolti gli studenti degli Istituti tecnici superiori e professionali superiori e </w:t>
            </w:r>
            <w:r w:rsidRPr="00F2691B">
              <w:rPr>
                <w:b/>
                <w:sz w:val="24"/>
                <w:szCs w:val="24"/>
              </w:rPr>
              <w:t>i docenti per la formazione sui modelli di orientamento e sull'utilizzo del serious game.</w:t>
            </w:r>
          </w:p>
        </w:tc>
      </w:tr>
      <w:tr w:rsidR="00F82363" w:rsidRPr="00A71BFE" w:rsidTr="00A71BFE">
        <w:tc>
          <w:tcPr>
            <w:tcW w:w="2518" w:type="dxa"/>
            <w:vAlign w:val="center"/>
          </w:tcPr>
          <w:p w:rsidR="00F82363" w:rsidRPr="00F2691B" w:rsidRDefault="00F82363" w:rsidP="00A71BFE">
            <w:pPr>
              <w:jc w:val="center"/>
              <w:rPr>
                <w:rFonts w:cs="Arial"/>
                <w:b/>
                <w:color w:val="000000"/>
                <w:sz w:val="24"/>
                <w:szCs w:val="24"/>
              </w:rPr>
            </w:pPr>
            <w:r w:rsidRPr="00F2691B">
              <w:rPr>
                <w:rFonts w:cs="Arial"/>
                <w:b/>
                <w:color w:val="000000"/>
                <w:sz w:val="24"/>
                <w:szCs w:val="24"/>
              </w:rPr>
              <w:t>PIACENZA</w:t>
            </w:r>
          </w:p>
        </w:tc>
        <w:tc>
          <w:tcPr>
            <w:tcW w:w="3827" w:type="dxa"/>
            <w:vAlign w:val="center"/>
          </w:tcPr>
          <w:p w:rsidR="00F82363" w:rsidRPr="00A71BFE" w:rsidRDefault="00F82363" w:rsidP="00A71BFE">
            <w:pPr>
              <w:jc w:val="center"/>
              <w:outlineLvl w:val="0"/>
              <w:rPr>
                <w:rFonts w:cs="Arial"/>
                <w:color w:val="000000"/>
                <w:sz w:val="24"/>
                <w:szCs w:val="24"/>
              </w:rPr>
            </w:pPr>
            <w:r w:rsidRPr="00A71BFE">
              <w:rPr>
                <w:rFonts w:cs="Arial"/>
                <w:color w:val="000000"/>
                <w:sz w:val="24"/>
                <w:szCs w:val="24"/>
              </w:rPr>
              <w:t>Sostieni una classe</w:t>
            </w:r>
          </w:p>
        </w:tc>
        <w:tc>
          <w:tcPr>
            <w:tcW w:w="8157" w:type="dxa"/>
          </w:tcPr>
          <w:p w:rsidR="00F82363" w:rsidRPr="00A71BFE" w:rsidRDefault="00A71BFE" w:rsidP="00F2691B">
            <w:pPr>
              <w:jc w:val="both"/>
              <w:rPr>
                <w:sz w:val="24"/>
                <w:szCs w:val="24"/>
              </w:rPr>
            </w:pPr>
            <w:r w:rsidRPr="00A71BFE">
              <w:rPr>
                <w:sz w:val="24"/>
                <w:szCs w:val="24"/>
              </w:rPr>
              <w:t xml:space="preserve">"Sostieni una classe” è un progetto attraverso il quale ogni anno una ventina di </w:t>
            </w:r>
            <w:r w:rsidRPr="00A71BFE">
              <w:rPr>
                <w:sz w:val="24"/>
                <w:szCs w:val="24"/>
              </w:rPr>
              <w:lastRenderedPageBreak/>
              <w:t xml:space="preserve">aziende piacentine aderenti a Confindustria hanno l’opportunità di “legarsi” ad una terza classe (degli indirizzi meccanico, elettronico, chimico od informatico) dell’ISII Marconi (Istituto Tecnico Industriale) o dell’Istituto tecnico commerciale Romagnosi accompagnando, di fatto, i suoi studenti per il successivo triennio fino al diploma. Tale collaborazione può tradursi nella donazione di attrezzature non più omologabili, ma ancora utilizzabili, insieme a documentazioni quali manuali e procedure in uso presso le aziende. </w:t>
            </w:r>
            <w:r w:rsidR="00F2691B">
              <w:rPr>
                <w:sz w:val="24"/>
                <w:szCs w:val="24"/>
              </w:rPr>
              <w:t>È anche</w:t>
            </w:r>
            <w:r w:rsidRPr="00A71BFE">
              <w:rPr>
                <w:sz w:val="24"/>
                <w:szCs w:val="24"/>
              </w:rPr>
              <w:t xml:space="preserve"> possibile </w:t>
            </w:r>
            <w:r w:rsidRPr="004E7C1A">
              <w:rPr>
                <w:b/>
                <w:sz w:val="24"/>
                <w:szCs w:val="24"/>
              </w:rPr>
              <w:t>invitare alcuni insegnanti ai corsi organizzati presso l’azienda</w:t>
            </w:r>
            <w:r w:rsidRPr="00A71BFE">
              <w:rPr>
                <w:sz w:val="24"/>
                <w:szCs w:val="24"/>
              </w:rPr>
              <w:t xml:space="preserve"> oltreché prevedere testimonianze dei dirigenti aziendali presso la scuola o direttamente in azienda. Sono altresì previsti momenti di alternanza scuola lavoro (della minima durata di un mese) anche durante l’anno scolastico. Destinatari dell'iniziativa sono tutti gli studenti del terzo anno degli stituti tecnici di Piacenza ISII Marconi e ITC Romagnosi con i loro docenti.</w:t>
            </w:r>
          </w:p>
        </w:tc>
      </w:tr>
      <w:tr w:rsidR="00F82363" w:rsidRPr="00A71BFE" w:rsidTr="00A71BFE">
        <w:tc>
          <w:tcPr>
            <w:tcW w:w="2518" w:type="dxa"/>
            <w:vAlign w:val="center"/>
          </w:tcPr>
          <w:p w:rsidR="00F82363" w:rsidRPr="00F2691B" w:rsidRDefault="00F82363" w:rsidP="00A71BFE">
            <w:pPr>
              <w:jc w:val="center"/>
              <w:rPr>
                <w:rFonts w:cs="Arial"/>
                <w:b/>
                <w:color w:val="000000"/>
                <w:sz w:val="24"/>
                <w:szCs w:val="24"/>
              </w:rPr>
            </w:pPr>
            <w:r w:rsidRPr="00F2691B">
              <w:rPr>
                <w:rFonts w:cs="Arial"/>
                <w:b/>
                <w:color w:val="000000"/>
                <w:sz w:val="24"/>
                <w:szCs w:val="24"/>
              </w:rPr>
              <w:lastRenderedPageBreak/>
              <w:t>ROMA-FROSINONE-LATINA-RIETI-VITERBO</w:t>
            </w:r>
          </w:p>
        </w:tc>
        <w:tc>
          <w:tcPr>
            <w:tcW w:w="3827" w:type="dxa"/>
            <w:vAlign w:val="center"/>
          </w:tcPr>
          <w:p w:rsidR="00F82363" w:rsidRPr="00A71BFE" w:rsidRDefault="00F82363" w:rsidP="00A71BFE">
            <w:pPr>
              <w:jc w:val="center"/>
              <w:outlineLvl w:val="0"/>
              <w:rPr>
                <w:rFonts w:cs="Arial"/>
                <w:color w:val="000000"/>
                <w:sz w:val="24"/>
                <w:szCs w:val="24"/>
              </w:rPr>
            </w:pPr>
            <w:r w:rsidRPr="00A71BFE">
              <w:rPr>
                <w:rFonts w:cs="Arial"/>
                <w:color w:val="000000"/>
                <w:sz w:val="24"/>
                <w:szCs w:val="24"/>
              </w:rPr>
              <w:t>L’Industria Meccanica a sostegno dell’Occupabilità (IMO)</w:t>
            </w:r>
          </w:p>
        </w:tc>
        <w:tc>
          <w:tcPr>
            <w:tcW w:w="8157" w:type="dxa"/>
          </w:tcPr>
          <w:p w:rsidR="00F82363" w:rsidRPr="00A71BFE" w:rsidRDefault="00A71BFE" w:rsidP="00A71BFE">
            <w:pPr>
              <w:jc w:val="both"/>
              <w:rPr>
                <w:sz w:val="24"/>
                <w:szCs w:val="24"/>
              </w:rPr>
            </w:pPr>
            <w:r w:rsidRPr="00A71BFE">
              <w:rPr>
                <w:sz w:val="24"/>
                <w:szCs w:val="24"/>
              </w:rPr>
              <w:t xml:space="preserve">L’associazione partecipa al progetto IMO di Federmeccanica. Nell’ambito dell’iniziativa sono state realizzate </w:t>
            </w:r>
            <w:r w:rsidRPr="004E7C1A">
              <w:rPr>
                <w:b/>
                <w:sz w:val="24"/>
                <w:szCs w:val="24"/>
              </w:rPr>
              <w:t>azioni formative rivolte sia ai Manager di aziende associate e ai docenti delle scuole superiori.</w:t>
            </w:r>
            <w:r w:rsidRPr="00A71BFE">
              <w:rPr>
                <w:sz w:val="24"/>
                <w:szCs w:val="24"/>
              </w:rPr>
              <w:t xml:space="preserve"> Il piano di lavoro ha incluso anche attività di Alternanza Scuola-Lavoro rivolte agli studenti, accompagnate dalla valutazione delle competenze acquisite.</w:t>
            </w:r>
          </w:p>
        </w:tc>
      </w:tr>
      <w:tr w:rsidR="00F82363" w:rsidRPr="00A71BFE" w:rsidTr="00A71BFE">
        <w:tc>
          <w:tcPr>
            <w:tcW w:w="2518" w:type="dxa"/>
            <w:vAlign w:val="center"/>
          </w:tcPr>
          <w:p w:rsidR="00F82363" w:rsidRPr="00F2691B" w:rsidRDefault="00F82363" w:rsidP="00A71BFE">
            <w:pPr>
              <w:jc w:val="center"/>
              <w:rPr>
                <w:rFonts w:cs="Arial"/>
                <w:b/>
                <w:color w:val="000000"/>
                <w:sz w:val="24"/>
                <w:szCs w:val="24"/>
              </w:rPr>
            </w:pPr>
            <w:r w:rsidRPr="00F2691B">
              <w:rPr>
                <w:rFonts w:cs="Arial"/>
                <w:b/>
                <w:color w:val="000000"/>
                <w:sz w:val="24"/>
                <w:szCs w:val="24"/>
              </w:rPr>
              <w:t>ROVIGO</w:t>
            </w:r>
          </w:p>
        </w:tc>
        <w:tc>
          <w:tcPr>
            <w:tcW w:w="3827" w:type="dxa"/>
            <w:vAlign w:val="center"/>
          </w:tcPr>
          <w:p w:rsidR="00F82363" w:rsidRPr="00A71BFE" w:rsidRDefault="00F82363" w:rsidP="00A71BFE">
            <w:pPr>
              <w:jc w:val="center"/>
              <w:outlineLvl w:val="0"/>
              <w:rPr>
                <w:rFonts w:cs="Arial"/>
                <w:color w:val="000000"/>
                <w:sz w:val="24"/>
                <w:szCs w:val="24"/>
              </w:rPr>
            </w:pPr>
            <w:r w:rsidRPr="00A71BFE">
              <w:rPr>
                <w:rFonts w:cs="Arial"/>
                <w:color w:val="000000"/>
                <w:sz w:val="24"/>
                <w:szCs w:val="24"/>
              </w:rPr>
              <w:t>Mettiamo a scuola gli insegnanti</w:t>
            </w:r>
          </w:p>
        </w:tc>
        <w:tc>
          <w:tcPr>
            <w:tcW w:w="8157" w:type="dxa"/>
          </w:tcPr>
          <w:p w:rsidR="00A71BFE" w:rsidRPr="00A71BFE" w:rsidRDefault="00A71BFE" w:rsidP="00A71BFE">
            <w:pPr>
              <w:jc w:val="both"/>
              <w:rPr>
                <w:sz w:val="24"/>
                <w:szCs w:val="24"/>
              </w:rPr>
            </w:pPr>
            <w:r w:rsidRPr="00A71BFE">
              <w:rPr>
                <w:sz w:val="24"/>
                <w:szCs w:val="24"/>
              </w:rPr>
              <w:t xml:space="preserve">Il corso </w:t>
            </w:r>
            <w:r w:rsidRPr="004E7C1A">
              <w:rPr>
                <w:b/>
                <w:sz w:val="24"/>
                <w:szCs w:val="24"/>
              </w:rPr>
              <w:t>Mettiamo a scuola gli insegnanti  è strutturato in un coerente percorso formativo che si propone di offrire gli strumenti indispensabili per inquadrare alcune tra le principali trasformazioni che interessano la società e le imprese</w:t>
            </w:r>
            <w:r w:rsidRPr="00A71BFE">
              <w:rPr>
                <w:sz w:val="24"/>
                <w:szCs w:val="24"/>
              </w:rPr>
              <w:t>. Allo stesso tempo esso intende continuare il produttivo “scambio” tra l’universo della Scuola ed il mondo dell’impresa.</w:t>
            </w:r>
          </w:p>
          <w:p w:rsidR="00A71BFE" w:rsidRPr="00A71BFE" w:rsidRDefault="00A71BFE" w:rsidP="00A71BFE">
            <w:pPr>
              <w:jc w:val="both"/>
              <w:rPr>
                <w:sz w:val="24"/>
                <w:szCs w:val="24"/>
              </w:rPr>
            </w:pPr>
            <w:r w:rsidRPr="00A71BFE">
              <w:rPr>
                <w:sz w:val="24"/>
                <w:szCs w:val="24"/>
              </w:rPr>
              <w:t xml:space="preserve">In particolare vengono affrontati anche attraverso visite aziendali i seguenti temi: </w:t>
            </w:r>
          </w:p>
          <w:p w:rsidR="00A71BFE" w:rsidRPr="00A71BFE" w:rsidRDefault="00A71BFE" w:rsidP="00A71BFE">
            <w:pPr>
              <w:jc w:val="both"/>
              <w:rPr>
                <w:sz w:val="24"/>
                <w:szCs w:val="24"/>
              </w:rPr>
            </w:pPr>
            <w:r w:rsidRPr="00A71BFE">
              <w:rPr>
                <w:sz w:val="24"/>
                <w:szCs w:val="24"/>
              </w:rPr>
              <w:t xml:space="preserve">- Nord est: società, giovani, valori, ma non solo </w:t>
            </w:r>
          </w:p>
          <w:p w:rsidR="00A71BFE" w:rsidRPr="00A71BFE" w:rsidRDefault="00A71BFE" w:rsidP="00A71BFE">
            <w:pPr>
              <w:jc w:val="both"/>
              <w:rPr>
                <w:sz w:val="24"/>
                <w:szCs w:val="24"/>
              </w:rPr>
            </w:pPr>
            <w:r w:rsidRPr="00A71BFE">
              <w:rPr>
                <w:sz w:val="24"/>
                <w:szCs w:val="24"/>
              </w:rPr>
              <w:t xml:space="preserve">- La globalizzazione ed i giovani in movimento in vista di Europa 2020  </w:t>
            </w:r>
          </w:p>
          <w:p w:rsidR="00A71BFE" w:rsidRPr="00A71BFE" w:rsidRDefault="00A71BFE" w:rsidP="00A71BFE">
            <w:pPr>
              <w:jc w:val="both"/>
              <w:rPr>
                <w:sz w:val="24"/>
                <w:szCs w:val="24"/>
              </w:rPr>
            </w:pPr>
            <w:r w:rsidRPr="00A71BFE">
              <w:rPr>
                <w:sz w:val="24"/>
                <w:szCs w:val="24"/>
              </w:rPr>
              <w:t>- La centralità del capitale umano ed il valore della conoscenza  intraprendenza, adattabilità  e flessibilità: nuovi paradigmi del lavoro.</w:t>
            </w:r>
          </w:p>
          <w:p w:rsidR="00F82363" w:rsidRPr="00A71BFE" w:rsidRDefault="00A71BFE" w:rsidP="00A71BFE">
            <w:pPr>
              <w:jc w:val="both"/>
              <w:rPr>
                <w:sz w:val="24"/>
                <w:szCs w:val="24"/>
              </w:rPr>
            </w:pPr>
            <w:r w:rsidRPr="00A71BFE">
              <w:rPr>
                <w:sz w:val="24"/>
                <w:szCs w:val="24"/>
              </w:rPr>
              <w:t>L'iniziativa si rivolge ai docenti di scuola secondaria coinvolti nell’orientamento scolastico.</w:t>
            </w:r>
          </w:p>
        </w:tc>
      </w:tr>
      <w:tr w:rsidR="00A71BFE" w:rsidRPr="00A71BFE" w:rsidTr="00A71BFE">
        <w:tc>
          <w:tcPr>
            <w:tcW w:w="2518" w:type="dxa"/>
            <w:vMerge w:val="restart"/>
            <w:vAlign w:val="center"/>
          </w:tcPr>
          <w:p w:rsidR="00A71BFE" w:rsidRPr="00F2691B" w:rsidRDefault="00A71BFE" w:rsidP="00A71BFE">
            <w:pPr>
              <w:jc w:val="center"/>
              <w:rPr>
                <w:rFonts w:cs="Arial"/>
                <w:b/>
                <w:color w:val="000000"/>
                <w:sz w:val="24"/>
                <w:szCs w:val="24"/>
              </w:rPr>
            </w:pPr>
            <w:r w:rsidRPr="00F2691B">
              <w:rPr>
                <w:rFonts w:cs="Arial"/>
                <w:b/>
                <w:color w:val="000000"/>
                <w:sz w:val="24"/>
                <w:szCs w:val="24"/>
              </w:rPr>
              <w:t>TORINO</w:t>
            </w:r>
          </w:p>
        </w:tc>
        <w:tc>
          <w:tcPr>
            <w:tcW w:w="3827" w:type="dxa"/>
            <w:vAlign w:val="center"/>
          </w:tcPr>
          <w:p w:rsidR="00A71BFE" w:rsidRPr="00A71BFE" w:rsidRDefault="00A71BFE" w:rsidP="00A71BFE">
            <w:pPr>
              <w:jc w:val="center"/>
              <w:outlineLvl w:val="0"/>
              <w:rPr>
                <w:rFonts w:cs="Arial"/>
                <w:color w:val="000000"/>
                <w:sz w:val="24"/>
                <w:szCs w:val="24"/>
              </w:rPr>
            </w:pPr>
            <w:r w:rsidRPr="00A71BFE">
              <w:rPr>
                <w:rFonts w:cs="Arial"/>
                <w:color w:val="000000"/>
                <w:sz w:val="24"/>
                <w:szCs w:val="24"/>
              </w:rPr>
              <w:t>Domotica e risparmio energetico: il mondo degli impianti</w:t>
            </w:r>
          </w:p>
        </w:tc>
        <w:tc>
          <w:tcPr>
            <w:tcW w:w="8157" w:type="dxa"/>
          </w:tcPr>
          <w:p w:rsidR="00A71BFE" w:rsidRPr="00A71BFE" w:rsidRDefault="004E7C1A" w:rsidP="004E7C1A">
            <w:pPr>
              <w:jc w:val="both"/>
              <w:rPr>
                <w:sz w:val="24"/>
                <w:szCs w:val="24"/>
              </w:rPr>
            </w:pPr>
            <w:r>
              <w:rPr>
                <w:sz w:val="24"/>
                <w:szCs w:val="24"/>
              </w:rPr>
              <w:t xml:space="preserve">Attraverso il progetto è stato organizzato </w:t>
            </w:r>
            <w:r w:rsidR="00A71BFE" w:rsidRPr="00A71BFE">
              <w:rPr>
                <w:sz w:val="24"/>
                <w:szCs w:val="24"/>
              </w:rPr>
              <w:t xml:space="preserve">un tavolo di confronto tra imprese impiantistiche e ITI e IPSIA che offrono le nuove articolazioni formative “Energia” </w:t>
            </w:r>
            <w:r>
              <w:rPr>
                <w:sz w:val="24"/>
                <w:szCs w:val="24"/>
              </w:rPr>
              <w:lastRenderedPageBreak/>
              <w:t>(ITI) o “Manutenzione” (IPSIA). Le principali azioni attivate hanno riguardato: l’</w:t>
            </w:r>
            <w:r w:rsidR="00A71BFE" w:rsidRPr="00A71BFE">
              <w:rPr>
                <w:sz w:val="24"/>
                <w:szCs w:val="24"/>
              </w:rPr>
              <w:t xml:space="preserve">analisi </w:t>
            </w:r>
            <w:r>
              <w:rPr>
                <w:sz w:val="24"/>
                <w:szCs w:val="24"/>
              </w:rPr>
              <w:t xml:space="preserve">della </w:t>
            </w:r>
            <w:r w:rsidR="00A71BFE" w:rsidRPr="00A71BFE">
              <w:rPr>
                <w:sz w:val="24"/>
                <w:szCs w:val="24"/>
              </w:rPr>
              <w:t xml:space="preserve">congruenza </w:t>
            </w:r>
            <w:r>
              <w:rPr>
                <w:sz w:val="24"/>
                <w:szCs w:val="24"/>
              </w:rPr>
              <w:t xml:space="preserve">dei </w:t>
            </w:r>
            <w:r w:rsidR="00A71BFE" w:rsidRPr="00A71BFE">
              <w:rPr>
                <w:sz w:val="24"/>
                <w:szCs w:val="24"/>
              </w:rPr>
              <w:t xml:space="preserve">nuovi piani di studio rispetto alla realtà produttiva, </w:t>
            </w:r>
            <w:r>
              <w:rPr>
                <w:sz w:val="24"/>
                <w:szCs w:val="24"/>
              </w:rPr>
              <w:t>l’</w:t>
            </w:r>
            <w:r w:rsidR="00A71BFE" w:rsidRPr="004E7C1A">
              <w:rPr>
                <w:b/>
                <w:sz w:val="24"/>
                <w:szCs w:val="24"/>
              </w:rPr>
              <w:t xml:space="preserve">aggiornamento </w:t>
            </w:r>
            <w:r>
              <w:rPr>
                <w:b/>
                <w:sz w:val="24"/>
                <w:szCs w:val="24"/>
              </w:rPr>
              <w:t xml:space="preserve">dei </w:t>
            </w:r>
            <w:r w:rsidR="00A71BFE" w:rsidRPr="004E7C1A">
              <w:rPr>
                <w:b/>
                <w:sz w:val="24"/>
                <w:szCs w:val="24"/>
              </w:rPr>
              <w:t>docenti</w:t>
            </w:r>
            <w:r w:rsidR="00A71BFE" w:rsidRPr="00A71BFE">
              <w:rPr>
                <w:sz w:val="24"/>
                <w:szCs w:val="24"/>
              </w:rPr>
              <w:t xml:space="preserve">, </w:t>
            </w:r>
            <w:r>
              <w:rPr>
                <w:sz w:val="24"/>
                <w:szCs w:val="24"/>
              </w:rPr>
              <w:t xml:space="preserve">le </w:t>
            </w:r>
            <w:r w:rsidR="00A71BFE" w:rsidRPr="00A71BFE">
              <w:rPr>
                <w:sz w:val="24"/>
                <w:szCs w:val="24"/>
              </w:rPr>
              <w:t xml:space="preserve">dotazioni di laboratorio delle Scuole, </w:t>
            </w:r>
            <w:r>
              <w:rPr>
                <w:sz w:val="24"/>
                <w:szCs w:val="24"/>
              </w:rPr>
              <w:t xml:space="preserve"> </w:t>
            </w:r>
            <w:r w:rsidR="00A71BFE" w:rsidRPr="00A71BFE">
              <w:rPr>
                <w:sz w:val="24"/>
                <w:szCs w:val="24"/>
              </w:rPr>
              <w:t>opportunità di stage e visite tecniche.</w:t>
            </w:r>
          </w:p>
        </w:tc>
      </w:tr>
      <w:tr w:rsidR="00A71BFE" w:rsidRPr="00A71BFE" w:rsidTr="00A71BFE">
        <w:tc>
          <w:tcPr>
            <w:tcW w:w="2518" w:type="dxa"/>
            <w:vMerge/>
            <w:vAlign w:val="center"/>
          </w:tcPr>
          <w:p w:rsidR="00A71BFE" w:rsidRPr="00F2691B" w:rsidRDefault="00A71BFE" w:rsidP="00A71BFE">
            <w:pPr>
              <w:jc w:val="center"/>
              <w:rPr>
                <w:rFonts w:cs="Arial"/>
                <w:b/>
                <w:color w:val="000000"/>
                <w:sz w:val="24"/>
                <w:szCs w:val="24"/>
              </w:rPr>
            </w:pPr>
          </w:p>
        </w:tc>
        <w:tc>
          <w:tcPr>
            <w:tcW w:w="3827" w:type="dxa"/>
            <w:vAlign w:val="center"/>
          </w:tcPr>
          <w:p w:rsidR="00A71BFE" w:rsidRPr="00A71BFE" w:rsidRDefault="00A71BFE" w:rsidP="00A71BFE">
            <w:pPr>
              <w:jc w:val="center"/>
              <w:outlineLvl w:val="0"/>
              <w:rPr>
                <w:rFonts w:cs="Arial"/>
                <w:color w:val="000000"/>
                <w:sz w:val="24"/>
                <w:szCs w:val="24"/>
              </w:rPr>
            </w:pPr>
            <w:r w:rsidRPr="00A71BFE">
              <w:rPr>
                <w:rFonts w:cs="Arial"/>
                <w:color w:val="000000"/>
                <w:sz w:val="24"/>
                <w:szCs w:val="24"/>
              </w:rPr>
              <w:t>Protocollo d’Intesa “Lean Education Network Torino”</w:t>
            </w:r>
          </w:p>
        </w:tc>
        <w:tc>
          <w:tcPr>
            <w:tcW w:w="8157" w:type="dxa"/>
          </w:tcPr>
          <w:p w:rsidR="00A71BFE" w:rsidRPr="00A71BFE" w:rsidRDefault="00A71BFE" w:rsidP="00A71BFE">
            <w:pPr>
              <w:jc w:val="both"/>
              <w:rPr>
                <w:sz w:val="24"/>
                <w:szCs w:val="24"/>
              </w:rPr>
            </w:pPr>
            <w:r w:rsidRPr="00A71BFE">
              <w:rPr>
                <w:sz w:val="24"/>
                <w:szCs w:val="24"/>
              </w:rPr>
              <w:t xml:space="preserve">L’Associazione con </w:t>
            </w:r>
            <w:r w:rsidR="004E7C1A">
              <w:rPr>
                <w:sz w:val="24"/>
                <w:szCs w:val="24"/>
              </w:rPr>
              <w:t xml:space="preserve">gli </w:t>
            </w:r>
            <w:r w:rsidRPr="00A71BFE">
              <w:rPr>
                <w:sz w:val="24"/>
                <w:szCs w:val="24"/>
              </w:rPr>
              <w:t xml:space="preserve">enti pubblici locali, gli Atenei torinesi e una Rete di 14 Scuole ha promosso un Protocollo d’Intesa per la diffusione e l’insegnamento delle metodologie della Lean Organization nella Formazione Professionale, nell’Istruzione Secondaria di II grado, nell’Istruzione Universitaria e nell’Alta Formazione dei Dottori di Ricerca. Queste le principali attività svolte: </w:t>
            </w:r>
            <w:r w:rsidRPr="004E7C1A">
              <w:rPr>
                <w:b/>
                <w:sz w:val="24"/>
                <w:szCs w:val="24"/>
              </w:rPr>
              <w:t>aggiornamento docenti</w:t>
            </w:r>
            <w:r w:rsidRPr="00A71BFE">
              <w:rPr>
                <w:sz w:val="24"/>
                <w:szCs w:val="24"/>
              </w:rPr>
              <w:t xml:space="preserve"> (26 docenti; 92 ore complessive); progettazione e  realizzazione di (17) Kit didattici laboratoriali; progettazione di 2 percorsi didattici (16 ore) per studenti di Scuole Superiori (881 studenti, per 734 ore erogate) e per studenti universitari (154 studenti, per 110 ore erogate); organizzazione workshop.</w:t>
            </w:r>
          </w:p>
        </w:tc>
      </w:tr>
      <w:tr w:rsidR="00A71BFE" w:rsidRPr="00A71BFE" w:rsidTr="00A71BFE">
        <w:tc>
          <w:tcPr>
            <w:tcW w:w="2518" w:type="dxa"/>
            <w:vMerge/>
            <w:vAlign w:val="center"/>
          </w:tcPr>
          <w:p w:rsidR="00A71BFE" w:rsidRPr="00F2691B" w:rsidRDefault="00A71BFE" w:rsidP="00A71BFE">
            <w:pPr>
              <w:jc w:val="center"/>
              <w:rPr>
                <w:rFonts w:cs="Arial"/>
                <w:b/>
                <w:color w:val="000000"/>
                <w:sz w:val="24"/>
                <w:szCs w:val="24"/>
              </w:rPr>
            </w:pPr>
          </w:p>
        </w:tc>
        <w:tc>
          <w:tcPr>
            <w:tcW w:w="3827" w:type="dxa"/>
            <w:vAlign w:val="center"/>
          </w:tcPr>
          <w:p w:rsidR="00A71BFE" w:rsidRPr="00A71BFE" w:rsidRDefault="00A71BFE" w:rsidP="00A71BFE">
            <w:pPr>
              <w:jc w:val="center"/>
              <w:outlineLvl w:val="0"/>
              <w:rPr>
                <w:rFonts w:cs="Arial"/>
                <w:color w:val="000000"/>
                <w:sz w:val="24"/>
                <w:szCs w:val="24"/>
              </w:rPr>
            </w:pPr>
            <w:r w:rsidRPr="00A71BFE">
              <w:rPr>
                <w:rFonts w:cs="Arial"/>
                <w:color w:val="000000"/>
                <w:sz w:val="24"/>
                <w:szCs w:val="24"/>
              </w:rPr>
              <w:t>Strategie di partnership per l’insegnamento della Robotica e della Meccatronica avanzata</w:t>
            </w:r>
          </w:p>
        </w:tc>
        <w:tc>
          <w:tcPr>
            <w:tcW w:w="8157" w:type="dxa"/>
          </w:tcPr>
          <w:p w:rsidR="00A71BFE" w:rsidRPr="00A71BFE" w:rsidRDefault="00A71BFE" w:rsidP="004E7C1A">
            <w:pPr>
              <w:jc w:val="both"/>
              <w:rPr>
                <w:sz w:val="24"/>
                <w:szCs w:val="24"/>
              </w:rPr>
            </w:pPr>
            <w:r w:rsidRPr="00A71BFE">
              <w:rPr>
                <w:sz w:val="24"/>
                <w:szCs w:val="24"/>
              </w:rPr>
              <w:t xml:space="preserve">L'Unione Industriale di Torino, in partnership con numerosi enti pubblici locali, gli Atenei e una Rete di 16 Istituti Tecnici e Professionali, ha costituito una filiera formativa integrata, dalla Scuola all’ITS e all’Università, con l’obiettivo di sostenere l’Istruzione Tecnica e Professionale indirizzata al settore della Robotica e della Meccatronica avanzata. Nello specifico le attività avviate hanno riguardato: adeguamento laboratori; </w:t>
            </w:r>
            <w:r w:rsidRPr="004E7C1A">
              <w:rPr>
                <w:b/>
                <w:sz w:val="24"/>
                <w:szCs w:val="24"/>
              </w:rPr>
              <w:t>aggiornamento docenti</w:t>
            </w:r>
            <w:r w:rsidRPr="00A71BFE">
              <w:rPr>
                <w:sz w:val="24"/>
                <w:szCs w:val="24"/>
              </w:rPr>
              <w:t xml:space="preserve"> (92 docenti; 181 ore complessive); “curvatura” percorsi scolastici ITI a indirizzo meccanico, elettronico e informatico e IPSIA verso la Robotica. L’iniziativa si concretizza anche nei percorsi formativi biennali dell’ITS “Mobilità sostenibile: Aerospazio / Meccatronica”, attivati tra Torino, Fossano (CN) e Novara. Nel complesso sono stati coinvolti oltre 100 studenti.</w:t>
            </w:r>
          </w:p>
        </w:tc>
      </w:tr>
      <w:tr w:rsidR="00F82363" w:rsidRPr="00A71BFE" w:rsidTr="00A71BFE">
        <w:tc>
          <w:tcPr>
            <w:tcW w:w="2518" w:type="dxa"/>
            <w:vAlign w:val="center"/>
          </w:tcPr>
          <w:p w:rsidR="00F82363" w:rsidRPr="00F2691B" w:rsidRDefault="00F82363" w:rsidP="00A71BFE">
            <w:pPr>
              <w:jc w:val="center"/>
              <w:rPr>
                <w:rFonts w:cs="Arial"/>
                <w:b/>
                <w:color w:val="000000"/>
                <w:sz w:val="24"/>
                <w:szCs w:val="24"/>
              </w:rPr>
            </w:pPr>
            <w:r w:rsidRPr="00F2691B">
              <w:rPr>
                <w:rFonts w:cs="Arial"/>
                <w:b/>
                <w:color w:val="000000"/>
                <w:sz w:val="24"/>
                <w:szCs w:val="24"/>
              </w:rPr>
              <w:t>TREVISO</w:t>
            </w:r>
          </w:p>
        </w:tc>
        <w:tc>
          <w:tcPr>
            <w:tcW w:w="3827" w:type="dxa"/>
            <w:vAlign w:val="center"/>
          </w:tcPr>
          <w:p w:rsidR="00F82363" w:rsidRPr="00A71BFE" w:rsidRDefault="00A71BFE" w:rsidP="00A71BFE">
            <w:pPr>
              <w:jc w:val="center"/>
              <w:outlineLvl w:val="0"/>
              <w:rPr>
                <w:rFonts w:cs="Arial"/>
                <w:color w:val="000000"/>
                <w:sz w:val="24"/>
                <w:szCs w:val="24"/>
              </w:rPr>
            </w:pPr>
            <w:r w:rsidRPr="00A71BFE">
              <w:rPr>
                <w:rFonts w:cs="Arial"/>
                <w:color w:val="000000"/>
                <w:sz w:val="24"/>
                <w:szCs w:val="24"/>
              </w:rPr>
              <w:t>Formazione - Aggiornamento Insegnanti</w:t>
            </w:r>
          </w:p>
        </w:tc>
        <w:tc>
          <w:tcPr>
            <w:tcW w:w="8157" w:type="dxa"/>
          </w:tcPr>
          <w:p w:rsidR="00A71BFE" w:rsidRPr="00A71BFE" w:rsidRDefault="00A71BFE" w:rsidP="00A71BFE">
            <w:pPr>
              <w:jc w:val="both"/>
              <w:rPr>
                <w:sz w:val="24"/>
                <w:szCs w:val="24"/>
              </w:rPr>
            </w:pPr>
            <w:r w:rsidRPr="00A71BFE">
              <w:rPr>
                <w:sz w:val="24"/>
                <w:szCs w:val="24"/>
              </w:rPr>
              <w:t xml:space="preserve">Unindustria Treviso realizza dei </w:t>
            </w:r>
            <w:r w:rsidRPr="004E7C1A">
              <w:rPr>
                <w:b/>
                <w:sz w:val="24"/>
                <w:szCs w:val="24"/>
              </w:rPr>
              <w:t>percorsi informativi per Dirigenti scolastici ed Insegnanti su tematiche economiche e sociali</w:t>
            </w:r>
            <w:r w:rsidRPr="00A71BFE">
              <w:rPr>
                <w:sz w:val="24"/>
                <w:szCs w:val="24"/>
              </w:rPr>
              <w:t>:</w:t>
            </w:r>
          </w:p>
          <w:p w:rsidR="00A71BFE" w:rsidRPr="00A71BFE" w:rsidRDefault="00A71BFE" w:rsidP="00A71BFE">
            <w:pPr>
              <w:jc w:val="both"/>
              <w:rPr>
                <w:sz w:val="24"/>
                <w:szCs w:val="24"/>
              </w:rPr>
            </w:pPr>
            <w:r w:rsidRPr="00A71BFE">
              <w:rPr>
                <w:sz w:val="24"/>
                <w:szCs w:val="24"/>
              </w:rPr>
              <w:t>-</w:t>
            </w:r>
            <w:r w:rsidRPr="00A71BFE">
              <w:rPr>
                <w:sz w:val="24"/>
                <w:szCs w:val="24"/>
              </w:rPr>
              <w:tab/>
              <w:t>FARE SCUOLA IN UN MONDO CHE CAMBIA 10 incontri (2008)</w:t>
            </w:r>
          </w:p>
          <w:p w:rsidR="00A71BFE" w:rsidRPr="00A71BFE" w:rsidRDefault="00A71BFE" w:rsidP="00A71BFE">
            <w:pPr>
              <w:jc w:val="both"/>
              <w:rPr>
                <w:sz w:val="24"/>
                <w:szCs w:val="24"/>
              </w:rPr>
            </w:pPr>
            <w:r w:rsidRPr="00A71BFE">
              <w:rPr>
                <w:sz w:val="24"/>
                <w:szCs w:val="24"/>
              </w:rPr>
              <w:t>-</w:t>
            </w:r>
            <w:r w:rsidRPr="00A71BFE">
              <w:rPr>
                <w:sz w:val="24"/>
                <w:szCs w:val="24"/>
              </w:rPr>
              <w:tab/>
              <w:t>INSEGNARE TRA CRISI E OPPORTUNITÀ 7 incontri (2010)</w:t>
            </w:r>
          </w:p>
          <w:p w:rsidR="00A71BFE" w:rsidRPr="00A71BFE" w:rsidRDefault="00A71BFE" w:rsidP="00A71BFE">
            <w:pPr>
              <w:jc w:val="both"/>
              <w:rPr>
                <w:sz w:val="24"/>
                <w:szCs w:val="24"/>
              </w:rPr>
            </w:pPr>
            <w:r w:rsidRPr="00A71BFE">
              <w:rPr>
                <w:sz w:val="24"/>
                <w:szCs w:val="24"/>
              </w:rPr>
              <w:t>-</w:t>
            </w:r>
            <w:r w:rsidRPr="00A71BFE">
              <w:rPr>
                <w:sz w:val="24"/>
                <w:szCs w:val="24"/>
              </w:rPr>
              <w:tab/>
              <w:t xml:space="preserve">incontri informativi su tematiche aziendali o tematiche scolastiche di interesse aziendale (logistica, sicurezza nei luoghi di lavoro, design, professioni e competenze nell’ICT, professioni e competenze nel cartario cartotecnico e </w:t>
            </w:r>
            <w:r w:rsidRPr="00A71BFE">
              <w:rPr>
                <w:sz w:val="24"/>
                <w:szCs w:val="24"/>
              </w:rPr>
              <w:lastRenderedPageBreak/>
              <w:t>grafico, alternanza scuola lavoro e sicurezza in ASL, lauree scientifiche, tot 25 incontri).</w:t>
            </w:r>
          </w:p>
          <w:p w:rsidR="00F82363" w:rsidRPr="00A71BFE" w:rsidRDefault="00A71BFE" w:rsidP="00A71BFE">
            <w:pPr>
              <w:jc w:val="both"/>
              <w:rPr>
                <w:sz w:val="24"/>
                <w:szCs w:val="24"/>
              </w:rPr>
            </w:pPr>
            <w:r w:rsidRPr="00A71BFE">
              <w:rPr>
                <w:sz w:val="24"/>
                <w:szCs w:val="24"/>
              </w:rPr>
              <w:t>Destinatari sono Insegnanti e Dirigenti scolastici, prevalentemente di scuole secondarie di II grado.</w:t>
            </w:r>
          </w:p>
        </w:tc>
      </w:tr>
      <w:tr w:rsidR="00F82363" w:rsidRPr="00A71BFE" w:rsidTr="00A71BFE">
        <w:tc>
          <w:tcPr>
            <w:tcW w:w="2518" w:type="dxa"/>
            <w:vAlign w:val="center"/>
          </w:tcPr>
          <w:p w:rsidR="00F82363" w:rsidRPr="00F2691B" w:rsidRDefault="00F82363" w:rsidP="00A71BFE">
            <w:pPr>
              <w:jc w:val="center"/>
              <w:rPr>
                <w:rFonts w:cs="Arial"/>
                <w:b/>
                <w:color w:val="000000"/>
                <w:sz w:val="24"/>
                <w:szCs w:val="24"/>
              </w:rPr>
            </w:pPr>
            <w:r w:rsidRPr="00F2691B">
              <w:rPr>
                <w:rFonts w:cs="Arial"/>
                <w:b/>
                <w:color w:val="000000"/>
                <w:sz w:val="24"/>
                <w:szCs w:val="24"/>
              </w:rPr>
              <w:lastRenderedPageBreak/>
              <w:t>UCIMU</w:t>
            </w:r>
          </w:p>
        </w:tc>
        <w:tc>
          <w:tcPr>
            <w:tcW w:w="3827" w:type="dxa"/>
            <w:vAlign w:val="center"/>
          </w:tcPr>
          <w:p w:rsidR="00F82363" w:rsidRPr="00A71BFE" w:rsidRDefault="00A71BFE" w:rsidP="00A71BFE">
            <w:pPr>
              <w:jc w:val="center"/>
              <w:outlineLvl w:val="0"/>
              <w:rPr>
                <w:rFonts w:cs="Arial"/>
                <w:color w:val="000000"/>
                <w:sz w:val="24"/>
                <w:szCs w:val="24"/>
              </w:rPr>
            </w:pPr>
            <w:r w:rsidRPr="00A71BFE">
              <w:rPr>
                <w:rFonts w:cs="Arial"/>
                <w:color w:val="000000"/>
                <w:sz w:val="24"/>
                <w:szCs w:val="24"/>
              </w:rPr>
              <w:t>Certificazione Delle Competenze Degli Insegnanti Degli Istituti Tecnici</w:t>
            </w:r>
          </w:p>
        </w:tc>
        <w:tc>
          <w:tcPr>
            <w:tcW w:w="8157" w:type="dxa"/>
          </w:tcPr>
          <w:p w:rsidR="00A71BFE" w:rsidRPr="00A71BFE" w:rsidRDefault="00A71BFE" w:rsidP="00A71BFE">
            <w:pPr>
              <w:jc w:val="both"/>
              <w:rPr>
                <w:sz w:val="24"/>
                <w:szCs w:val="24"/>
              </w:rPr>
            </w:pPr>
            <w:r w:rsidRPr="00A71BFE">
              <w:rPr>
                <w:sz w:val="24"/>
                <w:szCs w:val="24"/>
              </w:rPr>
              <w:t xml:space="preserve">La competenza degli insegnanti degli Istituti Tecnici è determinante per la preparazione di studenti in grado di utilizzare macchine e strumenti presenti in azienda ed essere immediatamente operativi. UCIMU-SISTEMI PER PRODURRE ha </w:t>
            </w:r>
            <w:r w:rsidRPr="004E7C1A">
              <w:rPr>
                <w:b/>
                <w:sz w:val="24"/>
                <w:szCs w:val="24"/>
              </w:rPr>
              <w:t>esteso alla figura dei docenti degli Istituti Tecnici il proprio “Protocollo di Certificazione delle Competenze”,</w:t>
            </w:r>
            <w:r w:rsidRPr="00A71BFE">
              <w:rPr>
                <w:sz w:val="24"/>
                <w:szCs w:val="24"/>
              </w:rPr>
              <w:t xml:space="preserve"> citato anche nel Rapporto sul progetto PIAAC dei Ministeri dell’Istruzione e del Lavoro. </w:t>
            </w:r>
          </w:p>
          <w:p w:rsidR="00A71BFE" w:rsidRPr="00A71BFE" w:rsidRDefault="00A71BFE" w:rsidP="00A71BFE">
            <w:pPr>
              <w:jc w:val="both"/>
              <w:rPr>
                <w:sz w:val="24"/>
                <w:szCs w:val="24"/>
              </w:rPr>
            </w:pPr>
            <w:r w:rsidRPr="00A71BFE">
              <w:rPr>
                <w:sz w:val="24"/>
                <w:szCs w:val="24"/>
              </w:rPr>
              <w:t>La certificazione permette alle scuole di verificare le reali competenze tecniche dei docenti, il loro grado di aggiornamento e di testimoniare un importante raccordo con il mondo delle imprese.</w:t>
            </w:r>
          </w:p>
          <w:p w:rsidR="00F82363" w:rsidRPr="00A71BFE" w:rsidRDefault="00A71BFE" w:rsidP="00A71BFE">
            <w:pPr>
              <w:jc w:val="both"/>
              <w:rPr>
                <w:sz w:val="24"/>
                <w:szCs w:val="24"/>
              </w:rPr>
            </w:pPr>
            <w:r w:rsidRPr="00A71BFE">
              <w:rPr>
                <w:sz w:val="24"/>
                <w:szCs w:val="24"/>
              </w:rPr>
              <w:t>L'iniziativa si rivolge agli Istituti Tecnici di tutto il territorio nazionale. Per le scuole che hanno già rapporti con imprese del Sistema Associativo, la certificazione è rilasciata gratuitamente.</w:t>
            </w:r>
          </w:p>
        </w:tc>
      </w:tr>
      <w:tr w:rsidR="00F82363" w:rsidRPr="00A71BFE" w:rsidTr="00A71BFE">
        <w:tc>
          <w:tcPr>
            <w:tcW w:w="2518" w:type="dxa"/>
            <w:vAlign w:val="center"/>
          </w:tcPr>
          <w:p w:rsidR="00F82363" w:rsidRPr="00F2691B" w:rsidRDefault="00F82363" w:rsidP="00A71BFE">
            <w:pPr>
              <w:jc w:val="center"/>
              <w:rPr>
                <w:rFonts w:cs="Arial"/>
                <w:b/>
                <w:color w:val="000000"/>
                <w:sz w:val="24"/>
                <w:szCs w:val="24"/>
              </w:rPr>
            </w:pPr>
            <w:r w:rsidRPr="00F2691B">
              <w:rPr>
                <w:rFonts w:cs="Arial"/>
                <w:b/>
                <w:color w:val="000000"/>
                <w:sz w:val="24"/>
                <w:szCs w:val="24"/>
              </w:rPr>
              <w:t>VARESE</w:t>
            </w:r>
          </w:p>
        </w:tc>
        <w:tc>
          <w:tcPr>
            <w:tcW w:w="3827" w:type="dxa"/>
            <w:vAlign w:val="center"/>
          </w:tcPr>
          <w:p w:rsidR="00F82363" w:rsidRPr="00A71BFE" w:rsidRDefault="00A71BFE" w:rsidP="00A71BFE">
            <w:pPr>
              <w:jc w:val="center"/>
              <w:outlineLvl w:val="0"/>
              <w:rPr>
                <w:rFonts w:cs="Arial"/>
                <w:color w:val="000000"/>
                <w:sz w:val="24"/>
                <w:szCs w:val="24"/>
              </w:rPr>
            </w:pPr>
            <w:r w:rsidRPr="00A71BFE">
              <w:rPr>
                <w:rFonts w:cs="Arial"/>
                <w:color w:val="000000"/>
                <w:sz w:val="24"/>
                <w:szCs w:val="24"/>
              </w:rPr>
              <w:t>Generazione D’industria</w:t>
            </w:r>
          </w:p>
        </w:tc>
        <w:tc>
          <w:tcPr>
            <w:tcW w:w="8157" w:type="dxa"/>
          </w:tcPr>
          <w:p w:rsidR="00A71BFE" w:rsidRPr="00A71BFE" w:rsidRDefault="00A71BFE" w:rsidP="00A71BFE">
            <w:pPr>
              <w:jc w:val="both"/>
              <w:rPr>
                <w:sz w:val="24"/>
                <w:szCs w:val="24"/>
              </w:rPr>
            </w:pPr>
            <w:r w:rsidRPr="00A71BFE">
              <w:rPr>
                <w:sz w:val="24"/>
                <w:szCs w:val="24"/>
              </w:rPr>
              <w:t xml:space="preserve">Generazione d’Industria è il progetto associativo nato per riportare la cultura industriale tra i giovani, con l’obiettivo di rendere stabili le relazioni tra le scuole tecniche e le imprese, accrescere l’interscambio di conoscenze e valorizzare il merito degli studenti che vengono premiati con borse di studio. Il progetto è sostenuto dal contributo delle imprese partecipanti ed è giunto al quinto anno di svolgimento, coinvolgendo in stage curriculari di lunga durata gli studenti dei 9 istituti scolastici tecnici industriali della provincia. Uno degli obiettivi del progetto è </w:t>
            </w:r>
            <w:r w:rsidRPr="004E7C1A">
              <w:rPr>
                <w:b/>
                <w:sz w:val="24"/>
                <w:szCs w:val="24"/>
              </w:rPr>
              <w:t xml:space="preserve">l’aggiornamento </w:t>
            </w:r>
            <w:r w:rsidR="004E7C1A">
              <w:rPr>
                <w:b/>
                <w:sz w:val="24"/>
                <w:szCs w:val="24"/>
              </w:rPr>
              <w:t>dei docenti che viene realizzato</w:t>
            </w:r>
            <w:r w:rsidRPr="004E7C1A">
              <w:rPr>
                <w:b/>
                <w:sz w:val="24"/>
                <w:szCs w:val="24"/>
              </w:rPr>
              <w:t xml:space="preserve"> con visite e corsi aziendali</w:t>
            </w:r>
            <w:r w:rsidRPr="00A71BFE">
              <w:rPr>
                <w:sz w:val="24"/>
                <w:szCs w:val="24"/>
              </w:rPr>
              <w:t>. Per gli studenti più meritevoli del quarto e quinto anno è prevista un’esperienza lunga di Alternanza Scuola-Lavoro.</w:t>
            </w:r>
          </w:p>
          <w:p w:rsidR="00F82363" w:rsidRPr="00A71BFE" w:rsidRDefault="00A71BFE" w:rsidP="00A71BFE">
            <w:pPr>
              <w:jc w:val="both"/>
              <w:rPr>
                <w:sz w:val="24"/>
                <w:szCs w:val="24"/>
              </w:rPr>
            </w:pPr>
            <w:r w:rsidRPr="00A71BFE">
              <w:rPr>
                <w:sz w:val="24"/>
                <w:szCs w:val="24"/>
              </w:rPr>
              <w:t>I destinatari sono gli studenti e i docenti dei nove Istituti di Istruzione Tecnica e Professionale della provincia di Varese.</w:t>
            </w:r>
          </w:p>
        </w:tc>
      </w:tr>
      <w:tr w:rsidR="00F82363" w:rsidRPr="00A71BFE" w:rsidTr="00A71BFE">
        <w:tc>
          <w:tcPr>
            <w:tcW w:w="2518" w:type="dxa"/>
            <w:vAlign w:val="center"/>
          </w:tcPr>
          <w:p w:rsidR="00F82363" w:rsidRPr="00F2691B" w:rsidRDefault="00F82363" w:rsidP="00A71BFE">
            <w:pPr>
              <w:jc w:val="center"/>
              <w:rPr>
                <w:rFonts w:cs="Arial"/>
                <w:b/>
                <w:color w:val="000000"/>
                <w:sz w:val="24"/>
                <w:szCs w:val="24"/>
              </w:rPr>
            </w:pPr>
            <w:r w:rsidRPr="00F2691B">
              <w:rPr>
                <w:rFonts w:cs="Arial"/>
                <w:b/>
                <w:color w:val="000000"/>
                <w:sz w:val="24"/>
                <w:szCs w:val="24"/>
              </w:rPr>
              <w:t>VENEZIA</w:t>
            </w:r>
          </w:p>
        </w:tc>
        <w:tc>
          <w:tcPr>
            <w:tcW w:w="3827" w:type="dxa"/>
            <w:vAlign w:val="center"/>
          </w:tcPr>
          <w:p w:rsidR="00F82363" w:rsidRPr="00A71BFE" w:rsidRDefault="00F82363" w:rsidP="00A71BFE">
            <w:pPr>
              <w:jc w:val="center"/>
              <w:outlineLvl w:val="0"/>
              <w:rPr>
                <w:rFonts w:cs="Arial"/>
                <w:color w:val="000000"/>
                <w:sz w:val="24"/>
                <w:szCs w:val="24"/>
              </w:rPr>
            </w:pPr>
            <w:r w:rsidRPr="00A71BFE">
              <w:rPr>
                <w:rFonts w:cs="Arial"/>
                <w:color w:val="000000"/>
                <w:sz w:val="24"/>
                <w:szCs w:val="24"/>
              </w:rPr>
              <w:t>Professional orienteering</w:t>
            </w:r>
          </w:p>
        </w:tc>
        <w:tc>
          <w:tcPr>
            <w:tcW w:w="8157" w:type="dxa"/>
          </w:tcPr>
          <w:p w:rsidR="00F82363" w:rsidRPr="00A71BFE" w:rsidRDefault="00A71BFE" w:rsidP="004E7C1A">
            <w:pPr>
              <w:jc w:val="both"/>
              <w:rPr>
                <w:sz w:val="24"/>
                <w:szCs w:val="24"/>
              </w:rPr>
            </w:pPr>
            <w:r w:rsidRPr="00A71BFE">
              <w:rPr>
                <w:sz w:val="24"/>
                <w:szCs w:val="24"/>
              </w:rPr>
              <w:t>Il progetto, finanziato dalla Camera di Commercio di Venez</w:t>
            </w:r>
            <w:r w:rsidR="004E7C1A">
              <w:rPr>
                <w:sz w:val="24"/>
                <w:szCs w:val="24"/>
              </w:rPr>
              <w:t>ia, mira</w:t>
            </w:r>
            <w:r w:rsidRPr="00A71BFE">
              <w:rPr>
                <w:sz w:val="24"/>
                <w:szCs w:val="24"/>
              </w:rPr>
              <w:t xml:space="preserve"> allo </w:t>
            </w:r>
            <w:r w:rsidRPr="004E7C1A">
              <w:rPr>
                <w:b/>
                <w:sz w:val="24"/>
                <w:szCs w:val="24"/>
              </w:rPr>
              <w:t>sviluppo delle competenze professionali dei docenti degli Istituti Secondari di primo e secondo grado</w:t>
            </w:r>
            <w:r w:rsidRPr="00A71BFE">
              <w:rPr>
                <w:sz w:val="24"/>
                <w:szCs w:val="24"/>
              </w:rPr>
              <w:t xml:space="preserve">. </w:t>
            </w:r>
            <w:r w:rsidR="004E7C1A">
              <w:rPr>
                <w:sz w:val="24"/>
                <w:szCs w:val="24"/>
              </w:rPr>
              <w:t>Si</w:t>
            </w:r>
            <w:r w:rsidRPr="00A71BFE">
              <w:rPr>
                <w:sz w:val="24"/>
                <w:szCs w:val="24"/>
              </w:rPr>
              <w:t xml:space="preserve"> offre l’opportunità alla classe insegnante di approfondire la realtà produttiva esterna visitando le aziende più significative del territorio.</w:t>
            </w:r>
          </w:p>
        </w:tc>
      </w:tr>
    </w:tbl>
    <w:p w:rsidR="00F82363" w:rsidRDefault="00F82363" w:rsidP="00A71BFE">
      <w:pPr>
        <w:jc w:val="both"/>
      </w:pPr>
    </w:p>
    <w:sectPr w:rsidR="00F82363" w:rsidSect="00F82363">
      <w:pgSz w:w="16838" w:h="11906" w:orient="landscape"/>
      <w:pgMar w:top="1134" w:right="141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283"/>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363"/>
    <w:rsid w:val="00185C7D"/>
    <w:rsid w:val="00464625"/>
    <w:rsid w:val="004B75EE"/>
    <w:rsid w:val="004E7C1A"/>
    <w:rsid w:val="00641C3D"/>
    <w:rsid w:val="0068334B"/>
    <w:rsid w:val="00A71BFE"/>
    <w:rsid w:val="00F2691B"/>
    <w:rsid w:val="00F823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F8236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82363"/>
    <w:rPr>
      <w:rFonts w:ascii="Tahoma" w:hAnsi="Tahoma" w:cs="Tahoma"/>
      <w:sz w:val="16"/>
      <w:szCs w:val="16"/>
    </w:rPr>
  </w:style>
  <w:style w:type="table" w:styleId="Grigliatabella">
    <w:name w:val="Table Grid"/>
    <w:basedOn w:val="Tabellanormale"/>
    <w:uiPriority w:val="59"/>
    <w:rsid w:val="00F823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F8236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82363"/>
    <w:rPr>
      <w:rFonts w:ascii="Tahoma" w:hAnsi="Tahoma" w:cs="Tahoma"/>
      <w:sz w:val="16"/>
      <w:szCs w:val="16"/>
    </w:rPr>
  </w:style>
  <w:style w:type="table" w:styleId="Grigliatabella">
    <w:name w:val="Table Grid"/>
    <w:basedOn w:val="Tabellanormale"/>
    <w:uiPriority w:val="59"/>
    <w:rsid w:val="00F823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54208">
      <w:bodyDiv w:val="1"/>
      <w:marLeft w:val="0"/>
      <w:marRight w:val="0"/>
      <w:marTop w:val="0"/>
      <w:marBottom w:val="0"/>
      <w:divBdr>
        <w:top w:val="none" w:sz="0" w:space="0" w:color="auto"/>
        <w:left w:val="none" w:sz="0" w:space="0" w:color="auto"/>
        <w:bottom w:val="none" w:sz="0" w:space="0" w:color="auto"/>
        <w:right w:val="none" w:sz="0" w:space="0" w:color="auto"/>
      </w:divBdr>
    </w:div>
    <w:div w:id="67962430">
      <w:bodyDiv w:val="1"/>
      <w:marLeft w:val="0"/>
      <w:marRight w:val="0"/>
      <w:marTop w:val="0"/>
      <w:marBottom w:val="0"/>
      <w:divBdr>
        <w:top w:val="none" w:sz="0" w:space="0" w:color="auto"/>
        <w:left w:val="none" w:sz="0" w:space="0" w:color="auto"/>
        <w:bottom w:val="none" w:sz="0" w:space="0" w:color="auto"/>
        <w:right w:val="none" w:sz="0" w:space="0" w:color="auto"/>
      </w:divBdr>
    </w:div>
    <w:div w:id="117919735">
      <w:bodyDiv w:val="1"/>
      <w:marLeft w:val="0"/>
      <w:marRight w:val="0"/>
      <w:marTop w:val="0"/>
      <w:marBottom w:val="0"/>
      <w:divBdr>
        <w:top w:val="none" w:sz="0" w:space="0" w:color="auto"/>
        <w:left w:val="none" w:sz="0" w:space="0" w:color="auto"/>
        <w:bottom w:val="none" w:sz="0" w:space="0" w:color="auto"/>
        <w:right w:val="none" w:sz="0" w:space="0" w:color="auto"/>
      </w:divBdr>
    </w:div>
    <w:div w:id="147602470">
      <w:bodyDiv w:val="1"/>
      <w:marLeft w:val="0"/>
      <w:marRight w:val="0"/>
      <w:marTop w:val="0"/>
      <w:marBottom w:val="0"/>
      <w:divBdr>
        <w:top w:val="none" w:sz="0" w:space="0" w:color="auto"/>
        <w:left w:val="none" w:sz="0" w:space="0" w:color="auto"/>
        <w:bottom w:val="none" w:sz="0" w:space="0" w:color="auto"/>
        <w:right w:val="none" w:sz="0" w:space="0" w:color="auto"/>
      </w:divBdr>
    </w:div>
    <w:div w:id="207842607">
      <w:bodyDiv w:val="1"/>
      <w:marLeft w:val="0"/>
      <w:marRight w:val="0"/>
      <w:marTop w:val="0"/>
      <w:marBottom w:val="0"/>
      <w:divBdr>
        <w:top w:val="none" w:sz="0" w:space="0" w:color="auto"/>
        <w:left w:val="none" w:sz="0" w:space="0" w:color="auto"/>
        <w:bottom w:val="none" w:sz="0" w:space="0" w:color="auto"/>
        <w:right w:val="none" w:sz="0" w:space="0" w:color="auto"/>
      </w:divBdr>
    </w:div>
    <w:div w:id="340014069">
      <w:bodyDiv w:val="1"/>
      <w:marLeft w:val="0"/>
      <w:marRight w:val="0"/>
      <w:marTop w:val="0"/>
      <w:marBottom w:val="0"/>
      <w:divBdr>
        <w:top w:val="none" w:sz="0" w:space="0" w:color="auto"/>
        <w:left w:val="none" w:sz="0" w:space="0" w:color="auto"/>
        <w:bottom w:val="none" w:sz="0" w:space="0" w:color="auto"/>
        <w:right w:val="none" w:sz="0" w:space="0" w:color="auto"/>
      </w:divBdr>
    </w:div>
    <w:div w:id="367070620">
      <w:bodyDiv w:val="1"/>
      <w:marLeft w:val="0"/>
      <w:marRight w:val="0"/>
      <w:marTop w:val="0"/>
      <w:marBottom w:val="0"/>
      <w:divBdr>
        <w:top w:val="none" w:sz="0" w:space="0" w:color="auto"/>
        <w:left w:val="none" w:sz="0" w:space="0" w:color="auto"/>
        <w:bottom w:val="none" w:sz="0" w:space="0" w:color="auto"/>
        <w:right w:val="none" w:sz="0" w:space="0" w:color="auto"/>
      </w:divBdr>
    </w:div>
    <w:div w:id="418597053">
      <w:bodyDiv w:val="1"/>
      <w:marLeft w:val="0"/>
      <w:marRight w:val="0"/>
      <w:marTop w:val="0"/>
      <w:marBottom w:val="0"/>
      <w:divBdr>
        <w:top w:val="none" w:sz="0" w:space="0" w:color="auto"/>
        <w:left w:val="none" w:sz="0" w:space="0" w:color="auto"/>
        <w:bottom w:val="none" w:sz="0" w:space="0" w:color="auto"/>
        <w:right w:val="none" w:sz="0" w:space="0" w:color="auto"/>
      </w:divBdr>
    </w:div>
    <w:div w:id="525756301">
      <w:bodyDiv w:val="1"/>
      <w:marLeft w:val="0"/>
      <w:marRight w:val="0"/>
      <w:marTop w:val="0"/>
      <w:marBottom w:val="0"/>
      <w:divBdr>
        <w:top w:val="none" w:sz="0" w:space="0" w:color="auto"/>
        <w:left w:val="none" w:sz="0" w:space="0" w:color="auto"/>
        <w:bottom w:val="none" w:sz="0" w:space="0" w:color="auto"/>
        <w:right w:val="none" w:sz="0" w:space="0" w:color="auto"/>
      </w:divBdr>
    </w:div>
    <w:div w:id="549729328">
      <w:bodyDiv w:val="1"/>
      <w:marLeft w:val="0"/>
      <w:marRight w:val="0"/>
      <w:marTop w:val="0"/>
      <w:marBottom w:val="0"/>
      <w:divBdr>
        <w:top w:val="none" w:sz="0" w:space="0" w:color="auto"/>
        <w:left w:val="none" w:sz="0" w:space="0" w:color="auto"/>
        <w:bottom w:val="none" w:sz="0" w:space="0" w:color="auto"/>
        <w:right w:val="none" w:sz="0" w:space="0" w:color="auto"/>
      </w:divBdr>
    </w:div>
    <w:div w:id="592475374">
      <w:bodyDiv w:val="1"/>
      <w:marLeft w:val="0"/>
      <w:marRight w:val="0"/>
      <w:marTop w:val="0"/>
      <w:marBottom w:val="0"/>
      <w:divBdr>
        <w:top w:val="none" w:sz="0" w:space="0" w:color="auto"/>
        <w:left w:val="none" w:sz="0" w:space="0" w:color="auto"/>
        <w:bottom w:val="none" w:sz="0" w:space="0" w:color="auto"/>
        <w:right w:val="none" w:sz="0" w:space="0" w:color="auto"/>
      </w:divBdr>
    </w:div>
    <w:div w:id="598677855">
      <w:bodyDiv w:val="1"/>
      <w:marLeft w:val="0"/>
      <w:marRight w:val="0"/>
      <w:marTop w:val="0"/>
      <w:marBottom w:val="0"/>
      <w:divBdr>
        <w:top w:val="none" w:sz="0" w:space="0" w:color="auto"/>
        <w:left w:val="none" w:sz="0" w:space="0" w:color="auto"/>
        <w:bottom w:val="none" w:sz="0" w:space="0" w:color="auto"/>
        <w:right w:val="none" w:sz="0" w:space="0" w:color="auto"/>
      </w:divBdr>
    </w:div>
    <w:div w:id="679701662">
      <w:bodyDiv w:val="1"/>
      <w:marLeft w:val="0"/>
      <w:marRight w:val="0"/>
      <w:marTop w:val="0"/>
      <w:marBottom w:val="0"/>
      <w:divBdr>
        <w:top w:val="none" w:sz="0" w:space="0" w:color="auto"/>
        <w:left w:val="none" w:sz="0" w:space="0" w:color="auto"/>
        <w:bottom w:val="none" w:sz="0" w:space="0" w:color="auto"/>
        <w:right w:val="none" w:sz="0" w:space="0" w:color="auto"/>
      </w:divBdr>
    </w:div>
    <w:div w:id="708653910">
      <w:bodyDiv w:val="1"/>
      <w:marLeft w:val="0"/>
      <w:marRight w:val="0"/>
      <w:marTop w:val="0"/>
      <w:marBottom w:val="0"/>
      <w:divBdr>
        <w:top w:val="none" w:sz="0" w:space="0" w:color="auto"/>
        <w:left w:val="none" w:sz="0" w:space="0" w:color="auto"/>
        <w:bottom w:val="none" w:sz="0" w:space="0" w:color="auto"/>
        <w:right w:val="none" w:sz="0" w:space="0" w:color="auto"/>
      </w:divBdr>
    </w:div>
    <w:div w:id="724452009">
      <w:bodyDiv w:val="1"/>
      <w:marLeft w:val="0"/>
      <w:marRight w:val="0"/>
      <w:marTop w:val="0"/>
      <w:marBottom w:val="0"/>
      <w:divBdr>
        <w:top w:val="none" w:sz="0" w:space="0" w:color="auto"/>
        <w:left w:val="none" w:sz="0" w:space="0" w:color="auto"/>
        <w:bottom w:val="none" w:sz="0" w:space="0" w:color="auto"/>
        <w:right w:val="none" w:sz="0" w:space="0" w:color="auto"/>
      </w:divBdr>
    </w:div>
    <w:div w:id="726414101">
      <w:bodyDiv w:val="1"/>
      <w:marLeft w:val="0"/>
      <w:marRight w:val="0"/>
      <w:marTop w:val="0"/>
      <w:marBottom w:val="0"/>
      <w:divBdr>
        <w:top w:val="none" w:sz="0" w:space="0" w:color="auto"/>
        <w:left w:val="none" w:sz="0" w:space="0" w:color="auto"/>
        <w:bottom w:val="none" w:sz="0" w:space="0" w:color="auto"/>
        <w:right w:val="none" w:sz="0" w:space="0" w:color="auto"/>
      </w:divBdr>
    </w:div>
    <w:div w:id="742337218">
      <w:bodyDiv w:val="1"/>
      <w:marLeft w:val="0"/>
      <w:marRight w:val="0"/>
      <w:marTop w:val="0"/>
      <w:marBottom w:val="0"/>
      <w:divBdr>
        <w:top w:val="none" w:sz="0" w:space="0" w:color="auto"/>
        <w:left w:val="none" w:sz="0" w:space="0" w:color="auto"/>
        <w:bottom w:val="none" w:sz="0" w:space="0" w:color="auto"/>
        <w:right w:val="none" w:sz="0" w:space="0" w:color="auto"/>
      </w:divBdr>
    </w:div>
    <w:div w:id="753671537">
      <w:bodyDiv w:val="1"/>
      <w:marLeft w:val="0"/>
      <w:marRight w:val="0"/>
      <w:marTop w:val="0"/>
      <w:marBottom w:val="0"/>
      <w:divBdr>
        <w:top w:val="none" w:sz="0" w:space="0" w:color="auto"/>
        <w:left w:val="none" w:sz="0" w:space="0" w:color="auto"/>
        <w:bottom w:val="none" w:sz="0" w:space="0" w:color="auto"/>
        <w:right w:val="none" w:sz="0" w:space="0" w:color="auto"/>
      </w:divBdr>
    </w:div>
    <w:div w:id="793982733">
      <w:bodyDiv w:val="1"/>
      <w:marLeft w:val="0"/>
      <w:marRight w:val="0"/>
      <w:marTop w:val="0"/>
      <w:marBottom w:val="0"/>
      <w:divBdr>
        <w:top w:val="none" w:sz="0" w:space="0" w:color="auto"/>
        <w:left w:val="none" w:sz="0" w:space="0" w:color="auto"/>
        <w:bottom w:val="none" w:sz="0" w:space="0" w:color="auto"/>
        <w:right w:val="none" w:sz="0" w:space="0" w:color="auto"/>
      </w:divBdr>
    </w:div>
    <w:div w:id="804081915">
      <w:bodyDiv w:val="1"/>
      <w:marLeft w:val="0"/>
      <w:marRight w:val="0"/>
      <w:marTop w:val="0"/>
      <w:marBottom w:val="0"/>
      <w:divBdr>
        <w:top w:val="none" w:sz="0" w:space="0" w:color="auto"/>
        <w:left w:val="none" w:sz="0" w:space="0" w:color="auto"/>
        <w:bottom w:val="none" w:sz="0" w:space="0" w:color="auto"/>
        <w:right w:val="none" w:sz="0" w:space="0" w:color="auto"/>
      </w:divBdr>
    </w:div>
    <w:div w:id="806557363">
      <w:bodyDiv w:val="1"/>
      <w:marLeft w:val="0"/>
      <w:marRight w:val="0"/>
      <w:marTop w:val="0"/>
      <w:marBottom w:val="0"/>
      <w:divBdr>
        <w:top w:val="none" w:sz="0" w:space="0" w:color="auto"/>
        <w:left w:val="none" w:sz="0" w:space="0" w:color="auto"/>
        <w:bottom w:val="none" w:sz="0" w:space="0" w:color="auto"/>
        <w:right w:val="none" w:sz="0" w:space="0" w:color="auto"/>
      </w:divBdr>
    </w:div>
    <w:div w:id="851459586">
      <w:bodyDiv w:val="1"/>
      <w:marLeft w:val="0"/>
      <w:marRight w:val="0"/>
      <w:marTop w:val="0"/>
      <w:marBottom w:val="0"/>
      <w:divBdr>
        <w:top w:val="none" w:sz="0" w:space="0" w:color="auto"/>
        <w:left w:val="none" w:sz="0" w:space="0" w:color="auto"/>
        <w:bottom w:val="none" w:sz="0" w:space="0" w:color="auto"/>
        <w:right w:val="none" w:sz="0" w:space="0" w:color="auto"/>
      </w:divBdr>
    </w:div>
    <w:div w:id="873692672">
      <w:bodyDiv w:val="1"/>
      <w:marLeft w:val="0"/>
      <w:marRight w:val="0"/>
      <w:marTop w:val="0"/>
      <w:marBottom w:val="0"/>
      <w:divBdr>
        <w:top w:val="none" w:sz="0" w:space="0" w:color="auto"/>
        <w:left w:val="none" w:sz="0" w:space="0" w:color="auto"/>
        <w:bottom w:val="none" w:sz="0" w:space="0" w:color="auto"/>
        <w:right w:val="none" w:sz="0" w:space="0" w:color="auto"/>
      </w:divBdr>
    </w:div>
    <w:div w:id="894588689">
      <w:bodyDiv w:val="1"/>
      <w:marLeft w:val="0"/>
      <w:marRight w:val="0"/>
      <w:marTop w:val="0"/>
      <w:marBottom w:val="0"/>
      <w:divBdr>
        <w:top w:val="none" w:sz="0" w:space="0" w:color="auto"/>
        <w:left w:val="none" w:sz="0" w:space="0" w:color="auto"/>
        <w:bottom w:val="none" w:sz="0" w:space="0" w:color="auto"/>
        <w:right w:val="none" w:sz="0" w:space="0" w:color="auto"/>
      </w:divBdr>
    </w:div>
    <w:div w:id="931936526">
      <w:bodyDiv w:val="1"/>
      <w:marLeft w:val="0"/>
      <w:marRight w:val="0"/>
      <w:marTop w:val="0"/>
      <w:marBottom w:val="0"/>
      <w:divBdr>
        <w:top w:val="none" w:sz="0" w:space="0" w:color="auto"/>
        <w:left w:val="none" w:sz="0" w:space="0" w:color="auto"/>
        <w:bottom w:val="none" w:sz="0" w:space="0" w:color="auto"/>
        <w:right w:val="none" w:sz="0" w:space="0" w:color="auto"/>
      </w:divBdr>
    </w:div>
    <w:div w:id="939533404">
      <w:bodyDiv w:val="1"/>
      <w:marLeft w:val="0"/>
      <w:marRight w:val="0"/>
      <w:marTop w:val="0"/>
      <w:marBottom w:val="0"/>
      <w:divBdr>
        <w:top w:val="none" w:sz="0" w:space="0" w:color="auto"/>
        <w:left w:val="none" w:sz="0" w:space="0" w:color="auto"/>
        <w:bottom w:val="none" w:sz="0" w:space="0" w:color="auto"/>
        <w:right w:val="none" w:sz="0" w:space="0" w:color="auto"/>
      </w:divBdr>
    </w:div>
    <w:div w:id="947388997">
      <w:bodyDiv w:val="1"/>
      <w:marLeft w:val="0"/>
      <w:marRight w:val="0"/>
      <w:marTop w:val="0"/>
      <w:marBottom w:val="0"/>
      <w:divBdr>
        <w:top w:val="none" w:sz="0" w:space="0" w:color="auto"/>
        <w:left w:val="none" w:sz="0" w:space="0" w:color="auto"/>
        <w:bottom w:val="none" w:sz="0" w:space="0" w:color="auto"/>
        <w:right w:val="none" w:sz="0" w:space="0" w:color="auto"/>
      </w:divBdr>
    </w:div>
    <w:div w:id="969281715">
      <w:bodyDiv w:val="1"/>
      <w:marLeft w:val="0"/>
      <w:marRight w:val="0"/>
      <w:marTop w:val="0"/>
      <w:marBottom w:val="0"/>
      <w:divBdr>
        <w:top w:val="none" w:sz="0" w:space="0" w:color="auto"/>
        <w:left w:val="none" w:sz="0" w:space="0" w:color="auto"/>
        <w:bottom w:val="none" w:sz="0" w:space="0" w:color="auto"/>
        <w:right w:val="none" w:sz="0" w:space="0" w:color="auto"/>
      </w:divBdr>
    </w:div>
    <w:div w:id="1030257606">
      <w:bodyDiv w:val="1"/>
      <w:marLeft w:val="0"/>
      <w:marRight w:val="0"/>
      <w:marTop w:val="0"/>
      <w:marBottom w:val="0"/>
      <w:divBdr>
        <w:top w:val="none" w:sz="0" w:space="0" w:color="auto"/>
        <w:left w:val="none" w:sz="0" w:space="0" w:color="auto"/>
        <w:bottom w:val="none" w:sz="0" w:space="0" w:color="auto"/>
        <w:right w:val="none" w:sz="0" w:space="0" w:color="auto"/>
      </w:divBdr>
    </w:div>
    <w:div w:id="1085540273">
      <w:bodyDiv w:val="1"/>
      <w:marLeft w:val="0"/>
      <w:marRight w:val="0"/>
      <w:marTop w:val="0"/>
      <w:marBottom w:val="0"/>
      <w:divBdr>
        <w:top w:val="none" w:sz="0" w:space="0" w:color="auto"/>
        <w:left w:val="none" w:sz="0" w:space="0" w:color="auto"/>
        <w:bottom w:val="none" w:sz="0" w:space="0" w:color="auto"/>
        <w:right w:val="none" w:sz="0" w:space="0" w:color="auto"/>
      </w:divBdr>
    </w:div>
    <w:div w:id="1091967390">
      <w:bodyDiv w:val="1"/>
      <w:marLeft w:val="0"/>
      <w:marRight w:val="0"/>
      <w:marTop w:val="0"/>
      <w:marBottom w:val="0"/>
      <w:divBdr>
        <w:top w:val="none" w:sz="0" w:space="0" w:color="auto"/>
        <w:left w:val="none" w:sz="0" w:space="0" w:color="auto"/>
        <w:bottom w:val="none" w:sz="0" w:space="0" w:color="auto"/>
        <w:right w:val="none" w:sz="0" w:space="0" w:color="auto"/>
      </w:divBdr>
    </w:div>
    <w:div w:id="1183787238">
      <w:bodyDiv w:val="1"/>
      <w:marLeft w:val="0"/>
      <w:marRight w:val="0"/>
      <w:marTop w:val="0"/>
      <w:marBottom w:val="0"/>
      <w:divBdr>
        <w:top w:val="none" w:sz="0" w:space="0" w:color="auto"/>
        <w:left w:val="none" w:sz="0" w:space="0" w:color="auto"/>
        <w:bottom w:val="none" w:sz="0" w:space="0" w:color="auto"/>
        <w:right w:val="none" w:sz="0" w:space="0" w:color="auto"/>
      </w:divBdr>
    </w:div>
    <w:div w:id="1184053283">
      <w:bodyDiv w:val="1"/>
      <w:marLeft w:val="0"/>
      <w:marRight w:val="0"/>
      <w:marTop w:val="0"/>
      <w:marBottom w:val="0"/>
      <w:divBdr>
        <w:top w:val="none" w:sz="0" w:space="0" w:color="auto"/>
        <w:left w:val="none" w:sz="0" w:space="0" w:color="auto"/>
        <w:bottom w:val="none" w:sz="0" w:space="0" w:color="auto"/>
        <w:right w:val="none" w:sz="0" w:space="0" w:color="auto"/>
      </w:divBdr>
    </w:div>
    <w:div w:id="1214737849">
      <w:bodyDiv w:val="1"/>
      <w:marLeft w:val="0"/>
      <w:marRight w:val="0"/>
      <w:marTop w:val="0"/>
      <w:marBottom w:val="0"/>
      <w:divBdr>
        <w:top w:val="none" w:sz="0" w:space="0" w:color="auto"/>
        <w:left w:val="none" w:sz="0" w:space="0" w:color="auto"/>
        <w:bottom w:val="none" w:sz="0" w:space="0" w:color="auto"/>
        <w:right w:val="none" w:sz="0" w:space="0" w:color="auto"/>
      </w:divBdr>
    </w:div>
    <w:div w:id="1230648007">
      <w:bodyDiv w:val="1"/>
      <w:marLeft w:val="0"/>
      <w:marRight w:val="0"/>
      <w:marTop w:val="0"/>
      <w:marBottom w:val="0"/>
      <w:divBdr>
        <w:top w:val="none" w:sz="0" w:space="0" w:color="auto"/>
        <w:left w:val="none" w:sz="0" w:space="0" w:color="auto"/>
        <w:bottom w:val="none" w:sz="0" w:space="0" w:color="auto"/>
        <w:right w:val="none" w:sz="0" w:space="0" w:color="auto"/>
      </w:divBdr>
    </w:div>
    <w:div w:id="1233008423">
      <w:bodyDiv w:val="1"/>
      <w:marLeft w:val="0"/>
      <w:marRight w:val="0"/>
      <w:marTop w:val="0"/>
      <w:marBottom w:val="0"/>
      <w:divBdr>
        <w:top w:val="none" w:sz="0" w:space="0" w:color="auto"/>
        <w:left w:val="none" w:sz="0" w:space="0" w:color="auto"/>
        <w:bottom w:val="none" w:sz="0" w:space="0" w:color="auto"/>
        <w:right w:val="none" w:sz="0" w:space="0" w:color="auto"/>
      </w:divBdr>
    </w:div>
    <w:div w:id="1249188965">
      <w:bodyDiv w:val="1"/>
      <w:marLeft w:val="0"/>
      <w:marRight w:val="0"/>
      <w:marTop w:val="0"/>
      <w:marBottom w:val="0"/>
      <w:divBdr>
        <w:top w:val="none" w:sz="0" w:space="0" w:color="auto"/>
        <w:left w:val="none" w:sz="0" w:space="0" w:color="auto"/>
        <w:bottom w:val="none" w:sz="0" w:space="0" w:color="auto"/>
        <w:right w:val="none" w:sz="0" w:space="0" w:color="auto"/>
      </w:divBdr>
    </w:div>
    <w:div w:id="1256132262">
      <w:bodyDiv w:val="1"/>
      <w:marLeft w:val="0"/>
      <w:marRight w:val="0"/>
      <w:marTop w:val="0"/>
      <w:marBottom w:val="0"/>
      <w:divBdr>
        <w:top w:val="none" w:sz="0" w:space="0" w:color="auto"/>
        <w:left w:val="none" w:sz="0" w:space="0" w:color="auto"/>
        <w:bottom w:val="none" w:sz="0" w:space="0" w:color="auto"/>
        <w:right w:val="none" w:sz="0" w:space="0" w:color="auto"/>
      </w:divBdr>
    </w:div>
    <w:div w:id="1272081446">
      <w:bodyDiv w:val="1"/>
      <w:marLeft w:val="0"/>
      <w:marRight w:val="0"/>
      <w:marTop w:val="0"/>
      <w:marBottom w:val="0"/>
      <w:divBdr>
        <w:top w:val="none" w:sz="0" w:space="0" w:color="auto"/>
        <w:left w:val="none" w:sz="0" w:space="0" w:color="auto"/>
        <w:bottom w:val="none" w:sz="0" w:space="0" w:color="auto"/>
        <w:right w:val="none" w:sz="0" w:space="0" w:color="auto"/>
      </w:divBdr>
    </w:div>
    <w:div w:id="1291202482">
      <w:bodyDiv w:val="1"/>
      <w:marLeft w:val="0"/>
      <w:marRight w:val="0"/>
      <w:marTop w:val="0"/>
      <w:marBottom w:val="0"/>
      <w:divBdr>
        <w:top w:val="none" w:sz="0" w:space="0" w:color="auto"/>
        <w:left w:val="none" w:sz="0" w:space="0" w:color="auto"/>
        <w:bottom w:val="none" w:sz="0" w:space="0" w:color="auto"/>
        <w:right w:val="none" w:sz="0" w:space="0" w:color="auto"/>
      </w:divBdr>
    </w:div>
    <w:div w:id="1380131952">
      <w:bodyDiv w:val="1"/>
      <w:marLeft w:val="0"/>
      <w:marRight w:val="0"/>
      <w:marTop w:val="0"/>
      <w:marBottom w:val="0"/>
      <w:divBdr>
        <w:top w:val="none" w:sz="0" w:space="0" w:color="auto"/>
        <w:left w:val="none" w:sz="0" w:space="0" w:color="auto"/>
        <w:bottom w:val="none" w:sz="0" w:space="0" w:color="auto"/>
        <w:right w:val="none" w:sz="0" w:space="0" w:color="auto"/>
      </w:divBdr>
    </w:div>
    <w:div w:id="1429041521">
      <w:bodyDiv w:val="1"/>
      <w:marLeft w:val="0"/>
      <w:marRight w:val="0"/>
      <w:marTop w:val="0"/>
      <w:marBottom w:val="0"/>
      <w:divBdr>
        <w:top w:val="none" w:sz="0" w:space="0" w:color="auto"/>
        <w:left w:val="none" w:sz="0" w:space="0" w:color="auto"/>
        <w:bottom w:val="none" w:sz="0" w:space="0" w:color="auto"/>
        <w:right w:val="none" w:sz="0" w:space="0" w:color="auto"/>
      </w:divBdr>
    </w:div>
    <w:div w:id="1471939438">
      <w:bodyDiv w:val="1"/>
      <w:marLeft w:val="0"/>
      <w:marRight w:val="0"/>
      <w:marTop w:val="0"/>
      <w:marBottom w:val="0"/>
      <w:divBdr>
        <w:top w:val="none" w:sz="0" w:space="0" w:color="auto"/>
        <w:left w:val="none" w:sz="0" w:space="0" w:color="auto"/>
        <w:bottom w:val="none" w:sz="0" w:space="0" w:color="auto"/>
        <w:right w:val="none" w:sz="0" w:space="0" w:color="auto"/>
      </w:divBdr>
    </w:div>
    <w:div w:id="1505626423">
      <w:bodyDiv w:val="1"/>
      <w:marLeft w:val="0"/>
      <w:marRight w:val="0"/>
      <w:marTop w:val="0"/>
      <w:marBottom w:val="0"/>
      <w:divBdr>
        <w:top w:val="none" w:sz="0" w:space="0" w:color="auto"/>
        <w:left w:val="none" w:sz="0" w:space="0" w:color="auto"/>
        <w:bottom w:val="none" w:sz="0" w:space="0" w:color="auto"/>
        <w:right w:val="none" w:sz="0" w:space="0" w:color="auto"/>
      </w:divBdr>
    </w:div>
    <w:div w:id="1526475857">
      <w:bodyDiv w:val="1"/>
      <w:marLeft w:val="0"/>
      <w:marRight w:val="0"/>
      <w:marTop w:val="0"/>
      <w:marBottom w:val="0"/>
      <w:divBdr>
        <w:top w:val="none" w:sz="0" w:space="0" w:color="auto"/>
        <w:left w:val="none" w:sz="0" w:space="0" w:color="auto"/>
        <w:bottom w:val="none" w:sz="0" w:space="0" w:color="auto"/>
        <w:right w:val="none" w:sz="0" w:space="0" w:color="auto"/>
      </w:divBdr>
    </w:div>
    <w:div w:id="1587761504">
      <w:bodyDiv w:val="1"/>
      <w:marLeft w:val="0"/>
      <w:marRight w:val="0"/>
      <w:marTop w:val="0"/>
      <w:marBottom w:val="0"/>
      <w:divBdr>
        <w:top w:val="none" w:sz="0" w:space="0" w:color="auto"/>
        <w:left w:val="none" w:sz="0" w:space="0" w:color="auto"/>
        <w:bottom w:val="none" w:sz="0" w:space="0" w:color="auto"/>
        <w:right w:val="none" w:sz="0" w:space="0" w:color="auto"/>
      </w:divBdr>
    </w:div>
    <w:div w:id="1595165954">
      <w:bodyDiv w:val="1"/>
      <w:marLeft w:val="0"/>
      <w:marRight w:val="0"/>
      <w:marTop w:val="0"/>
      <w:marBottom w:val="0"/>
      <w:divBdr>
        <w:top w:val="none" w:sz="0" w:space="0" w:color="auto"/>
        <w:left w:val="none" w:sz="0" w:space="0" w:color="auto"/>
        <w:bottom w:val="none" w:sz="0" w:space="0" w:color="auto"/>
        <w:right w:val="none" w:sz="0" w:space="0" w:color="auto"/>
      </w:divBdr>
    </w:div>
    <w:div w:id="1600865392">
      <w:bodyDiv w:val="1"/>
      <w:marLeft w:val="0"/>
      <w:marRight w:val="0"/>
      <w:marTop w:val="0"/>
      <w:marBottom w:val="0"/>
      <w:divBdr>
        <w:top w:val="none" w:sz="0" w:space="0" w:color="auto"/>
        <w:left w:val="none" w:sz="0" w:space="0" w:color="auto"/>
        <w:bottom w:val="none" w:sz="0" w:space="0" w:color="auto"/>
        <w:right w:val="none" w:sz="0" w:space="0" w:color="auto"/>
      </w:divBdr>
    </w:div>
    <w:div w:id="1627271418">
      <w:bodyDiv w:val="1"/>
      <w:marLeft w:val="0"/>
      <w:marRight w:val="0"/>
      <w:marTop w:val="0"/>
      <w:marBottom w:val="0"/>
      <w:divBdr>
        <w:top w:val="none" w:sz="0" w:space="0" w:color="auto"/>
        <w:left w:val="none" w:sz="0" w:space="0" w:color="auto"/>
        <w:bottom w:val="none" w:sz="0" w:space="0" w:color="auto"/>
        <w:right w:val="none" w:sz="0" w:space="0" w:color="auto"/>
      </w:divBdr>
    </w:div>
    <w:div w:id="1776556537">
      <w:bodyDiv w:val="1"/>
      <w:marLeft w:val="0"/>
      <w:marRight w:val="0"/>
      <w:marTop w:val="0"/>
      <w:marBottom w:val="0"/>
      <w:divBdr>
        <w:top w:val="none" w:sz="0" w:space="0" w:color="auto"/>
        <w:left w:val="none" w:sz="0" w:space="0" w:color="auto"/>
        <w:bottom w:val="none" w:sz="0" w:space="0" w:color="auto"/>
        <w:right w:val="none" w:sz="0" w:space="0" w:color="auto"/>
      </w:divBdr>
    </w:div>
    <w:div w:id="1817523669">
      <w:bodyDiv w:val="1"/>
      <w:marLeft w:val="0"/>
      <w:marRight w:val="0"/>
      <w:marTop w:val="0"/>
      <w:marBottom w:val="0"/>
      <w:divBdr>
        <w:top w:val="none" w:sz="0" w:space="0" w:color="auto"/>
        <w:left w:val="none" w:sz="0" w:space="0" w:color="auto"/>
        <w:bottom w:val="none" w:sz="0" w:space="0" w:color="auto"/>
        <w:right w:val="none" w:sz="0" w:space="0" w:color="auto"/>
      </w:divBdr>
    </w:div>
    <w:div w:id="1879849565">
      <w:bodyDiv w:val="1"/>
      <w:marLeft w:val="0"/>
      <w:marRight w:val="0"/>
      <w:marTop w:val="0"/>
      <w:marBottom w:val="0"/>
      <w:divBdr>
        <w:top w:val="none" w:sz="0" w:space="0" w:color="auto"/>
        <w:left w:val="none" w:sz="0" w:space="0" w:color="auto"/>
        <w:bottom w:val="none" w:sz="0" w:space="0" w:color="auto"/>
        <w:right w:val="none" w:sz="0" w:space="0" w:color="auto"/>
      </w:divBdr>
    </w:div>
    <w:div w:id="1997604743">
      <w:bodyDiv w:val="1"/>
      <w:marLeft w:val="0"/>
      <w:marRight w:val="0"/>
      <w:marTop w:val="0"/>
      <w:marBottom w:val="0"/>
      <w:divBdr>
        <w:top w:val="none" w:sz="0" w:space="0" w:color="auto"/>
        <w:left w:val="none" w:sz="0" w:space="0" w:color="auto"/>
        <w:bottom w:val="none" w:sz="0" w:space="0" w:color="auto"/>
        <w:right w:val="none" w:sz="0" w:space="0" w:color="auto"/>
      </w:divBdr>
    </w:div>
    <w:div w:id="2082746728">
      <w:bodyDiv w:val="1"/>
      <w:marLeft w:val="0"/>
      <w:marRight w:val="0"/>
      <w:marTop w:val="0"/>
      <w:marBottom w:val="0"/>
      <w:divBdr>
        <w:top w:val="none" w:sz="0" w:space="0" w:color="auto"/>
        <w:left w:val="none" w:sz="0" w:space="0" w:color="auto"/>
        <w:bottom w:val="none" w:sz="0" w:space="0" w:color="auto"/>
        <w:right w:val="none" w:sz="0" w:space="0" w:color="auto"/>
      </w:divBdr>
    </w:div>
    <w:div w:id="213097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2833</Words>
  <Characters>16150</Characters>
  <Application>Microsoft Office Word</Application>
  <DocSecurity>0</DocSecurity>
  <Lines>134</Lines>
  <Paragraphs>37</Paragraphs>
  <ScaleCrop>false</ScaleCrop>
  <HeadingPairs>
    <vt:vector size="2" baseType="variant">
      <vt:variant>
        <vt:lpstr>Titolo</vt:lpstr>
      </vt:variant>
      <vt:variant>
        <vt:i4>1</vt:i4>
      </vt:variant>
    </vt:vector>
  </HeadingPairs>
  <TitlesOfParts>
    <vt:vector size="1" baseType="lpstr">
      <vt:lpstr/>
    </vt:vector>
  </TitlesOfParts>
  <Company>Enface</Company>
  <LinksUpToDate>false</LinksUpToDate>
  <CharactersWithSpaces>18946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raschieri</dc:creator>
  <cp:lastModifiedBy>Ugo</cp:lastModifiedBy>
  <cp:revision>2</cp:revision>
  <dcterms:created xsi:type="dcterms:W3CDTF">2016-09-14T07:42:00Z</dcterms:created>
  <dcterms:modified xsi:type="dcterms:W3CDTF">2016-09-14T07:42:00Z</dcterms:modified>
</cp:coreProperties>
</file>