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42" w:rsidRDefault="00A42A42" w:rsidP="00A42A42">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Milano 20/5/2015</w:t>
      </w:r>
    </w:p>
    <w:p w:rsidR="004E38BC" w:rsidRDefault="004E38BC" w:rsidP="004E3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Caro </w:t>
      </w:r>
      <w:proofErr w:type="spellStart"/>
      <w:r>
        <w:rPr>
          <w:rFonts w:ascii="Times New Roman" w:eastAsia="Times New Roman" w:hAnsi="Times New Roman" w:cs="Times New Roman"/>
          <w:sz w:val="24"/>
          <w:szCs w:val="24"/>
          <w:lang w:eastAsia="it-IT"/>
        </w:rPr>
        <w:t>Boffi</w:t>
      </w:r>
      <w:proofErr w:type="spellEnd"/>
      <w:r>
        <w:rPr>
          <w:rFonts w:ascii="Times New Roman" w:eastAsia="Times New Roman" w:hAnsi="Times New Roman" w:cs="Times New Roman"/>
          <w:sz w:val="24"/>
          <w:szCs w:val="24"/>
          <w:lang w:eastAsia="it-IT"/>
        </w:rPr>
        <w:t>,</w:t>
      </w:r>
    </w:p>
    <w:p w:rsidR="00553071" w:rsidRDefault="004E38BC" w:rsidP="004E3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3C0533" w:rsidRPr="003C0533">
        <w:rPr>
          <w:rFonts w:ascii="Times New Roman" w:eastAsia="Times New Roman" w:hAnsi="Times New Roman" w:cs="Times New Roman"/>
          <w:sz w:val="24"/>
          <w:szCs w:val="24"/>
          <w:lang w:eastAsia="it-IT"/>
        </w:rPr>
        <w:t xml:space="preserve">i invio i dati (LT, 2014) che </w:t>
      </w:r>
      <w:r w:rsidR="00553071">
        <w:rPr>
          <w:rFonts w:ascii="Times New Roman" w:eastAsia="Times New Roman" w:hAnsi="Times New Roman" w:cs="Times New Roman"/>
          <w:sz w:val="24"/>
          <w:szCs w:val="24"/>
          <w:lang w:eastAsia="it-IT"/>
        </w:rPr>
        <w:t>UNIMI</w:t>
      </w:r>
      <w:r w:rsidR="003C0533" w:rsidRPr="003C0533">
        <w:rPr>
          <w:rFonts w:ascii="Times New Roman" w:eastAsia="Times New Roman" w:hAnsi="Times New Roman" w:cs="Times New Roman"/>
          <w:sz w:val="24"/>
          <w:szCs w:val="24"/>
          <w:lang w:eastAsia="it-IT"/>
        </w:rPr>
        <w:t xml:space="preserve"> mette a disposizione </w:t>
      </w:r>
      <w:r w:rsidR="00553071">
        <w:rPr>
          <w:rFonts w:ascii="Times New Roman" w:eastAsia="Times New Roman" w:hAnsi="Times New Roman" w:cs="Times New Roman"/>
          <w:sz w:val="24"/>
          <w:szCs w:val="24"/>
          <w:lang w:eastAsia="it-IT"/>
        </w:rPr>
        <w:t xml:space="preserve">del Corso di Laurea </w:t>
      </w:r>
      <w:r w:rsidR="003C0533" w:rsidRPr="003C0533">
        <w:rPr>
          <w:rFonts w:ascii="Times New Roman" w:eastAsia="Times New Roman" w:hAnsi="Times New Roman" w:cs="Times New Roman"/>
          <w:sz w:val="24"/>
          <w:szCs w:val="24"/>
          <w:lang w:eastAsia="it-IT"/>
        </w:rPr>
        <w:t>per la scheda del riesame</w:t>
      </w:r>
      <w:r w:rsidR="00553071">
        <w:rPr>
          <w:rFonts w:ascii="Times New Roman" w:eastAsia="Times New Roman" w:hAnsi="Times New Roman" w:cs="Times New Roman"/>
          <w:sz w:val="24"/>
          <w:szCs w:val="24"/>
          <w:lang w:eastAsia="it-IT"/>
        </w:rPr>
        <w:t>, lievemente rielaborati da me per evitare ridondanze</w:t>
      </w:r>
      <w:r>
        <w:rPr>
          <w:rFonts w:ascii="Times New Roman" w:eastAsia="Times New Roman" w:hAnsi="Times New Roman" w:cs="Times New Roman"/>
          <w:sz w:val="24"/>
          <w:szCs w:val="24"/>
          <w:lang w:eastAsia="it-IT"/>
        </w:rPr>
        <w:t xml:space="preserve"> (ho tra l’altro inserito un mio tentativo di capire l’andamento per coorte)</w:t>
      </w:r>
      <w:r w:rsidR="00553071">
        <w:rPr>
          <w:rFonts w:ascii="Times New Roman" w:eastAsia="Times New Roman" w:hAnsi="Times New Roman" w:cs="Times New Roman"/>
          <w:sz w:val="24"/>
          <w:szCs w:val="24"/>
          <w:lang w:eastAsia="it-IT"/>
        </w:rPr>
        <w:t>.</w:t>
      </w:r>
    </w:p>
    <w:p w:rsidR="003C0533" w:rsidRPr="003C0533" w:rsidRDefault="00553071" w:rsidP="004E3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3C0533" w:rsidRPr="003C0533">
        <w:rPr>
          <w:rFonts w:ascii="Times New Roman" w:eastAsia="Times New Roman" w:hAnsi="Times New Roman" w:cs="Times New Roman"/>
          <w:sz w:val="24"/>
          <w:szCs w:val="24"/>
          <w:lang w:eastAsia="it-IT"/>
        </w:rPr>
        <w:t xml:space="preserve">i sono </w:t>
      </w:r>
      <w:r>
        <w:rPr>
          <w:rFonts w:ascii="Times New Roman" w:eastAsia="Times New Roman" w:hAnsi="Times New Roman" w:cs="Times New Roman"/>
          <w:sz w:val="24"/>
          <w:szCs w:val="24"/>
          <w:lang w:eastAsia="it-IT"/>
        </w:rPr>
        <w:t>alcune</w:t>
      </w:r>
      <w:r w:rsidR="003C0533" w:rsidRPr="003C0533">
        <w:rPr>
          <w:rFonts w:ascii="Times New Roman" w:eastAsia="Times New Roman" w:hAnsi="Times New Roman" w:cs="Times New Roman"/>
          <w:sz w:val="24"/>
          <w:szCs w:val="24"/>
          <w:lang w:eastAsia="it-IT"/>
        </w:rPr>
        <w:t xml:space="preserve"> statistiche </w:t>
      </w:r>
      <w:r>
        <w:rPr>
          <w:rFonts w:ascii="Times New Roman" w:eastAsia="Times New Roman" w:hAnsi="Times New Roman" w:cs="Times New Roman"/>
          <w:sz w:val="24"/>
          <w:szCs w:val="24"/>
          <w:lang w:eastAsia="it-IT"/>
        </w:rPr>
        <w:t xml:space="preserve">sui crediti acquisiti e </w:t>
      </w:r>
      <w:r w:rsidR="003C0533" w:rsidRPr="003C0533">
        <w:rPr>
          <w:rFonts w:ascii="Times New Roman" w:eastAsia="Times New Roman" w:hAnsi="Times New Roman" w:cs="Times New Roman"/>
          <w:sz w:val="24"/>
          <w:szCs w:val="24"/>
          <w:lang w:eastAsia="it-IT"/>
        </w:rPr>
        <w:t>sugli abbandoni al I anno</w:t>
      </w:r>
      <w:r>
        <w:rPr>
          <w:rFonts w:ascii="Times New Roman" w:eastAsia="Times New Roman" w:hAnsi="Times New Roman" w:cs="Times New Roman"/>
          <w:sz w:val="24"/>
          <w:szCs w:val="24"/>
          <w:lang w:eastAsia="it-IT"/>
        </w:rPr>
        <w:t>: bisogna</w:t>
      </w:r>
      <w:r w:rsidR="003C0533" w:rsidRPr="003C0533">
        <w:rPr>
          <w:rFonts w:ascii="Times New Roman" w:eastAsia="Times New Roman" w:hAnsi="Times New Roman" w:cs="Times New Roman"/>
          <w:sz w:val="24"/>
          <w:szCs w:val="24"/>
          <w:lang w:eastAsia="it-IT"/>
        </w:rPr>
        <w:t xml:space="preserve"> però </w:t>
      </w:r>
      <w:r>
        <w:rPr>
          <w:rFonts w:ascii="Times New Roman" w:eastAsia="Times New Roman" w:hAnsi="Times New Roman" w:cs="Times New Roman"/>
          <w:sz w:val="24"/>
          <w:szCs w:val="24"/>
          <w:lang w:eastAsia="it-IT"/>
        </w:rPr>
        <w:t xml:space="preserve">tener </w:t>
      </w:r>
      <w:r w:rsidR="003C0533" w:rsidRPr="003C0533">
        <w:rPr>
          <w:rFonts w:ascii="Times New Roman" w:eastAsia="Times New Roman" w:hAnsi="Times New Roman" w:cs="Times New Roman"/>
          <w:sz w:val="24"/>
          <w:szCs w:val="24"/>
          <w:lang w:eastAsia="it-IT"/>
        </w:rPr>
        <w:t>presente che i numeri si riferiscono agli iscritti, mentre il numero delle matricole che frequentano è molto più basso.</w:t>
      </w:r>
    </w:p>
    <w:p w:rsidR="00553071" w:rsidRDefault="00553071" w:rsidP="004E38BC">
      <w:pPr>
        <w:spacing w:after="0" w:line="240" w:lineRule="auto"/>
        <w:jc w:val="both"/>
        <w:rPr>
          <w:rFonts w:ascii="Times New Roman" w:eastAsia="Times New Roman" w:hAnsi="Times New Roman" w:cs="Times New Roman"/>
          <w:sz w:val="24"/>
          <w:szCs w:val="24"/>
          <w:lang w:eastAsia="it-IT"/>
        </w:rPr>
      </w:pPr>
    </w:p>
    <w:p w:rsidR="003C0533" w:rsidRDefault="00553071" w:rsidP="004E3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Collegio didattico valuta che </w:t>
      </w:r>
      <w:r w:rsidR="003C0533" w:rsidRPr="003C0533">
        <w:rPr>
          <w:rFonts w:ascii="Times New Roman" w:eastAsia="Times New Roman" w:hAnsi="Times New Roman" w:cs="Times New Roman"/>
          <w:sz w:val="24"/>
          <w:szCs w:val="24"/>
          <w:lang w:eastAsia="it-IT"/>
        </w:rPr>
        <w:t xml:space="preserve">la situazione non </w:t>
      </w:r>
      <w:r>
        <w:rPr>
          <w:rFonts w:ascii="Times New Roman" w:eastAsia="Times New Roman" w:hAnsi="Times New Roman" w:cs="Times New Roman"/>
          <w:sz w:val="24"/>
          <w:szCs w:val="24"/>
          <w:lang w:eastAsia="it-IT"/>
        </w:rPr>
        <w:t xml:space="preserve">sia </w:t>
      </w:r>
      <w:r w:rsidR="003C0533" w:rsidRPr="003C0533">
        <w:rPr>
          <w:rFonts w:ascii="Times New Roman" w:eastAsia="Times New Roman" w:hAnsi="Times New Roman" w:cs="Times New Roman"/>
          <w:sz w:val="24"/>
          <w:szCs w:val="24"/>
          <w:lang w:eastAsia="it-IT"/>
        </w:rPr>
        <w:t xml:space="preserve">preoccupante, perché il numero degli studenti al II anno è 100-120, tale numero si mantiene più o meno al III ed è il numero “giusto” affinché i laureati magistrali trovino poi lavoro, come si vede dall’analisi </w:t>
      </w:r>
      <w:r w:rsidR="00433A89">
        <w:rPr>
          <w:rFonts w:ascii="Times New Roman" w:eastAsia="Times New Roman" w:hAnsi="Times New Roman" w:cs="Times New Roman"/>
          <w:sz w:val="24"/>
          <w:szCs w:val="24"/>
          <w:lang w:eastAsia="it-IT"/>
        </w:rPr>
        <w:t>STELLA</w:t>
      </w:r>
      <w:r w:rsidR="003C0533" w:rsidRPr="003C0533">
        <w:rPr>
          <w:rFonts w:ascii="Times New Roman" w:eastAsia="Times New Roman" w:hAnsi="Times New Roman" w:cs="Times New Roman"/>
          <w:sz w:val="24"/>
          <w:szCs w:val="24"/>
          <w:lang w:eastAsia="it-IT"/>
        </w:rPr>
        <w:t xml:space="preserve"> sui laureati</w:t>
      </w:r>
      <w:r>
        <w:rPr>
          <w:rFonts w:ascii="Times New Roman" w:eastAsia="Times New Roman" w:hAnsi="Times New Roman" w:cs="Times New Roman"/>
          <w:sz w:val="24"/>
          <w:szCs w:val="24"/>
          <w:lang w:eastAsia="it-IT"/>
        </w:rPr>
        <w:t>, che pure ti allego</w:t>
      </w:r>
      <w:r w:rsidR="003C0533" w:rsidRPr="003C0533">
        <w:rPr>
          <w:rFonts w:ascii="Times New Roman" w:eastAsia="Times New Roman" w:hAnsi="Times New Roman" w:cs="Times New Roman"/>
          <w:sz w:val="24"/>
          <w:szCs w:val="24"/>
          <w:lang w:eastAsia="it-IT"/>
        </w:rPr>
        <w:t>.</w:t>
      </w:r>
    </w:p>
    <w:p w:rsidR="00553071" w:rsidRPr="003C0533" w:rsidRDefault="00553071" w:rsidP="004E38BC">
      <w:pPr>
        <w:spacing w:after="0" w:line="240" w:lineRule="auto"/>
        <w:jc w:val="both"/>
        <w:rPr>
          <w:rFonts w:ascii="Times New Roman" w:eastAsia="Times New Roman" w:hAnsi="Times New Roman" w:cs="Times New Roman"/>
          <w:sz w:val="24"/>
          <w:szCs w:val="24"/>
          <w:lang w:eastAsia="it-IT"/>
        </w:rPr>
      </w:pPr>
    </w:p>
    <w:p w:rsidR="00553071" w:rsidRDefault="003C0533" w:rsidP="004E38BC">
      <w:pPr>
        <w:spacing w:after="0" w:line="240" w:lineRule="auto"/>
        <w:jc w:val="both"/>
        <w:rPr>
          <w:rFonts w:ascii="Times New Roman" w:eastAsia="Times New Roman" w:hAnsi="Times New Roman" w:cs="Times New Roman"/>
          <w:sz w:val="24"/>
          <w:szCs w:val="24"/>
          <w:lang w:eastAsia="it-IT"/>
        </w:rPr>
      </w:pPr>
      <w:r w:rsidRPr="003C0533">
        <w:rPr>
          <w:rFonts w:ascii="Times New Roman" w:eastAsia="Times New Roman" w:hAnsi="Times New Roman" w:cs="Times New Roman"/>
          <w:sz w:val="24"/>
          <w:szCs w:val="24"/>
          <w:lang w:eastAsia="it-IT"/>
        </w:rPr>
        <w:t>Il CDM non ha mai intrapreso azioni specifiche, giudicando la situazione fisiologica e non volendo assolutamente abbassare il li</w:t>
      </w:r>
      <w:r w:rsidR="00553071">
        <w:rPr>
          <w:rFonts w:ascii="Times New Roman" w:eastAsia="Times New Roman" w:hAnsi="Times New Roman" w:cs="Times New Roman"/>
          <w:sz w:val="24"/>
          <w:szCs w:val="24"/>
          <w:lang w:eastAsia="it-IT"/>
        </w:rPr>
        <w:t>vello di difficoltà degli studi,</w:t>
      </w:r>
      <w:r w:rsidRPr="003C0533">
        <w:rPr>
          <w:rFonts w:ascii="Times New Roman" w:eastAsia="Times New Roman" w:hAnsi="Times New Roman" w:cs="Times New Roman"/>
          <w:sz w:val="24"/>
          <w:szCs w:val="24"/>
          <w:lang w:eastAsia="it-IT"/>
        </w:rPr>
        <w:t xml:space="preserve"> </w:t>
      </w:r>
      <w:r w:rsidR="00553071">
        <w:rPr>
          <w:rFonts w:ascii="Times New Roman" w:eastAsia="Times New Roman" w:hAnsi="Times New Roman" w:cs="Times New Roman"/>
          <w:sz w:val="24"/>
          <w:szCs w:val="24"/>
          <w:lang w:eastAsia="it-IT"/>
        </w:rPr>
        <w:t>i</w:t>
      </w:r>
      <w:r w:rsidRPr="003C0533">
        <w:rPr>
          <w:rFonts w:ascii="Times New Roman" w:eastAsia="Times New Roman" w:hAnsi="Times New Roman" w:cs="Times New Roman"/>
          <w:sz w:val="24"/>
          <w:szCs w:val="24"/>
          <w:lang w:eastAsia="it-IT"/>
        </w:rPr>
        <w:t xml:space="preserve">n ciò confortato </w:t>
      </w:r>
      <w:bookmarkStart w:id="0" w:name="_GoBack"/>
      <w:bookmarkEnd w:id="0"/>
      <w:r w:rsidRPr="003C0533">
        <w:rPr>
          <w:rFonts w:ascii="Times New Roman" w:eastAsia="Times New Roman" w:hAnsi="Times New Roman" w:cs="Times New Roman"/>
          <w:sz w:val="24"/>
          <w:szCs w:val="24"/>
          <w:lang w:eastAsia="it-IT"/>
        </w:rPr>
        <w:t xml:space="preserve">sia dall’opinione della Comm. del Riesame sia da quella della Comm. Paritetica. </w:t>
      </w:r>
    </w:p>
    <w:p w:rsidR="00553071" w:rsidRDefault="004E38BC" w:rsidP="004E3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53071">
        <w:rPr>
          <w:rFonts w:ascii="Times New Roman" w:eastAsia="Times New Roman" w:hAnsi="Times New Roman" w:cs="Times New Roman"/>
          <w:sz w:val="24"/>
          <w:szCs w:val="24"/>
          <w:lang w:eastAsia="it-IT"/>
        </w:rPr>
        <w:t>omunque che si cerca di orientare e supportare gli studenti, sostanzialmente con 3 iniziative:</w:t>
      </w:r>
    </w:p>
    <w:p w:rsidR="00553071" w:rsidRDefault="00553071" w:rsidP="004E38B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 </w:t>
      </w:r>
      <w:r w:rsidRPr="00553071">
        <w:rPr>
          <w:rFonts w:ascii="Times New Roman" w:eastAsia="Times New Roman" w:hAnsi="Times New Roman" w:cs="Times New Roman"/>
          <w:sz w:val="24"/>
          <w:szCs w:val="24"/>
          <w:lang w:eastAsia="it-IT"/>
        </w:rPr>
        <w:t>corso di Elementi di Matematica di Base (27 h</w:t>
      </w:r>
      <w:r w:rsidR="00A82C3C">
        <w:rPr>
          <w:rFonts w:ascii="Times New Roman" w:eastAsia="Times New Roman" w:hAnsi="Times New Roman" w:cs="Times New Roman"/>
          <w:sz w:val="24"/>
          <w:szCs w:val="24"/>
          <w:lang w:eastAsia="it-IT"/>
        </w:rPr>
        <w:t xml:space="preserve"> e 3CFU</w:t>
      </w:r>
      <w:r w:rsidRPr="00553071">
        <w:rPr>
          <w:rFonts w:ascii="Times New Roman" w:eastAsia="Times New Roman" w:hAnsi="Times New Roman" w:cs="Times New Roman"/>
          <w:sz w:val="24"/>
          <w:szCs w:val="24"/>
          <w:lang w:eastAsia="it-IT"/>
        </w:rPr>
        <w:t xml:space="preserve">) che si tiene </w:t>
      </w:r>
      <w:r w:rsidR="00A82C3C">
        <w:rPr>
          <w:rFonts w:ascii="Times New Roman" w:eastAsia="Times New Roman" w:hAnsi="Times New Roman" w:cs="Times New Roman"/>
          <w:sz w:val="24"/>
          <w:szCs w:val="24"/>
          <w:lang w:eastAsia="it-IT"/>
        </w:rPr>
        <w:t xml:space="preserve">nella seconda metà di </w:t>
      </w:r>
      <w:r w:rsidRPr="00553071">
        <w:rPr>
          <w:rFonts w:ascii="Times New Roman" w:eastAsia="Times New Roman" w:hAnsi="Times New Roman" w:cs="Times New Roman"/>
          <w:sz w:val="24"/>
          <w:szCs w:val="24"/>
          <w:lang w:eastAsia="it-IT"/>
        </w:rPr>
        <w:t xml:space="preserve"> settembre</w:t>
      </w:r>
      <w:r w:rsidR="004E38BC">
        <w:rPr>
          <w:rFonts w:ascii="Times New Roman" w:eastAsia="Times New Roman" w:hAnsi="Times New Roman" w:cs="Times New Roman"/>
          <w:sz w:val="24"/>
          <w:szCs w:val="24"/>
          <w:lang w:eastAsia="it-IT"/>
        </w:rPr>
        <w:t>,</w:t>
      </w:r>
      <w:r w:rsidRPr="00553071">
        <w:rPr>
          <w:rFonts w:ascii="Times New Roman" w:eastAsia="Times New Roman" w:hAnsi="Times New Roman" w:cs="Times New Roman"/>
          <w:sz w:val="24"/>
          <w:szCs w:val="24"/>
          <w:lang w:eastAsia="it-IT"/>
        </w:rPr>
        <w:t xml:space="preserve"> prima dell’inizio dei corsi </w:t>
      </w:r>
      <w:r w:rsidR="00A82C3C">
        <w:rPr>
          <w:rFonts w:ascii="Times New Roman" w:eastAsia="Times New Roman" w:hAnsi="Times New Roman" w:cs="Times New Roman"/>
          <w:sz w:val="24"/>
          <w:szCs w:val="24"/>
          <w:lang w:eastAsia="it-IT"/>
        </w:rPr>
        <w:t>ufficiali, con</w:t>
      </w:r>
      <w:r w:rsidRPr="00553071">
        <w:rPr>
          <w:rFonts w:ascii="Times New Roman" w:eastAsia="Times New Roman" w:hAnsi="Times New Roman" w:cs="Times New Roman"/>
          <w:sz w:val="24"/>
          <w:szCs w:val="24"/>
          <w:lang w:eastAsia="it-IT"/>
        </w:rPr>
        <w:t xml:space="preserve"> funzione di orientamento (</w:t>
      </w:r>
      <w:r w:rsidR="00A82C3C">
        <w:rPr>
          <w:rFonts w:ascii="Times New Roman" w:eastAsia="Times New Roman" w:hAnsi="Times New Roman" w:cs="Times New Roman"/>
          <w:sz w:val="24"/>
          <w:szCs w:val="24"/>
          <w:lang w:eastAsia="it-IT"/>
        </w:rPr>
        <w:t>non è un ripasso di nozioni di matematica, piuttosto un primo approccio ai metodi della matematica su temi elementari</w:t>
      </w:r>
      <w:r w:rsidRPr="00553071">
        <w:rPr>
          <w:rFonts w:ascii="Times New Roman" w:eastAsia="Times New Roman" w:hAnsi="Times New Roman" w:cs="Times New Roman"/>
          <w:sz w:val="24"/>
          <w:szCs w:val="24"/>
          <w:lang w:eastAsia="it-IT"/>
        </w:rPr>
        <w:t xml:space="preserve">): </w:t>
      </w:r>
      <w:r w:rsidR="00A82C3C">
        <w:rPr>
          <w:rFonts w:ascii="Times New Roman" w:eastAsia="Times New Roman" w:hAnsi="Times New Roman" w:cs="Times New Roman"/>
          <w:sz w:val="24"/>
          <w:szCs w:val="24"/>
          <w:lang w:eastAsia="it-IT"/>
        </w:rPr>
        <w:t>prevede una</w:t>
      </w:r>
      <w:r w:rsidR="00A82C3C" w:rsidRPr="00553071">
        <w:rPr>
          <w:rFonts w:ascii="Times New Roman" w:eastAsia="Times New Roman" w:hAnsi="Times New Roman" w:cs="Times New Roman"/>
          <w:sz w:val="24"/>
          <w:szCs w:val="24"/>
          <w:lang w:eastAsia="it-IT"/>
        </w:rPr>
        <w:t xml:space="preserve"> prova finale (obbligatoria) </w:t>
      </w:r>
      <w:r w:rsidR="00A82C3C">
        <w:rPr>
          <w:rFonts w:ascii="Times New Roman" w:eastAsia="Times New Roman" w:hAnsi="Times New Roman" w:cs="Times New Roman"/>
          <w:sz w:val="24"/>
          <w:szCs w:val="24"/>
          <w:lang w:eastAsia="it-IT"/>
        </w:rPr>
        <w:t>e</w:t>
      </w:r>
      <w:r w:rsidR="00A82C3C" w:rsidRPr="00553071">
        <w:rPr>
          <w:rFonts w:ascii="Times New Roman" w:eastAsia="Times New Roman" w:hAnsi="Times New Roman" w:cs="Times New Roman"/>
          <w:sz w:val="24"/>
          <w:szCs w:val="24"/>
          <w:lang w:eastAsia="it-IT"/>
        </w:rPr>
        <w:t xml:space="preserve"> </w:t>
      </w:r>
      <w:r w:rsidRPr="00553071">
        <w:rPr>
          <w:rFonts w:ascii="Times New Roman" w:eastAsia="Times New Roman" w:hAnsi="Times New Roman" w:cs="Times New Roman"/>
          <w:sz w:val="24"/>
          <w:szCs w:val="24"/>
          <w:lang w:eastAsia="it-IT"/>
        </w:rPr>
        <w:t>a chi non la supera si consi</w:t>
      </w:r>
      <w:r w:rsidR="00A82C3C">
        <w:rPr>
          <w:rFonts w:ascii="Times New Roman" w:eastAsia="Times New Roman" w:hAnsi="Times New Roman" w:cs="Times New Roman"/>
          <w:sz w:val="24"/>
          <w:szCs w:val="24"/>
          <w:lang w:eastAsia="it-IT"/>
        </w:rPr>
        <w:t>glia un riesame della sua decisione di iscriversi al Corso di Laurea (in realtà non è neppure richiesto esplicitamente di essere iscritti per frequentare il corso e sostenere la prova);</w:t>
      </w:r>
    </w:p>
    <w:p w:rsidR="00A82C3C" w:rsidRDefault="00A82C3C" w:rsidP="004E38B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 corso di azzeramento, parallelo al corso di Elementi di Matematica di Base, per colmare le lacune degli studenti che arrivano da scuole secondarie in cui non sono state affrontate con sufficiente cura equazioni/disequazioni, geometria euclidea e trigonometria;</w:t>
      </w:r>
    </w:p>
    <w:p w:rsidR="003C0533" w:rsidRPr="00A82C3C" w:rsidRDefault="003C0533" w:rsidP="004E38B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A82C3C">
        <w:rPr>
          <w:rFonts w:ascii="Times New Roman" w:eastAsia="Times New Roman" w:hAnsi="Times New Roman" w:cs="Times New Roman"/>
          <w:sz w:val="24"/>
          <w:szCs w:val="24"/>
          <w:lang w:eastAsia="it-IT"/>
        </w:rPr>
        <w:t>attività di sostegno</w:t>
      </w:r>
      <w:r w:rsidR="00A82C3C">
        <w:rPr>
          <w:rFonts w:ascii="Times New Roman" w:eastAsia="Times New Roman" w:hAnsi="Times New Roman" w:cs="Times New Roman"/>
          <w:sz w:val="24"/>
          <w:szCs w:val="24"/>
          <w:lang w:eastAsia="it-IT"/>
        </w:rPr>
        <w:t xml:space="preserve"> in corso d’anno</w:t>
      </w:r>
      <w:r w:rsidRPr="00A82C3C">
        <w:rPr>
          <w:rFonts w:ascii="Times New Roman" w:eastAsia="Times New Roman" w:hAnsi="Times New Roman" w:cs="Times New Roman"/>
          <w:sz w:val="24"/>
          <w:szCs w:val="24"/>
          <w:lang w:eastAsia="it-IT"/>
        </w:rPr>
        <w:t xml:space="preserve"> </w:t>
      </w:r>
      <w:r w:rsidR="00A82C3C">
        <w:rPr>
          <w:rFonts w:ascii="Times New Roman" w:eastAsia="Times New Roman" w:hAnsi="Times New Roman" w:cs="Times New Roman"/>
          <w:sz w:val="24"/>
          <w:szCs w:val="24"/>
          <w:lang w:eastAsia="it-IT"/>
        </w:rPr>
        <w:t>(</w:t>
      </w:r>
      <w:r w:rsidRPr="00A82C3C">
        <w:rPr>
          <w:rFonts w:ascii="Times New Roman" w:eastAsia="Times New Roman" w:hAnsi="Times New Roman" w:cs="Times New Roman"/>
          <w:sz w:val="24"/>
          <w:szCs w:val="24"/>
          <w:lang w:eastAsia="it-IT"/>
        </w:rPr>
        <w:t>coordinate dal CDM, ma lasciate all’organizzazione del singoli corsi del I anno</w:t>
      </w:r>
      <w:r w:rsidR="00A82C3C">
        <w:rPr>
          <w:rFonts w:ascii="Times New Roman" w:eastAsia="Times New Roman" w:hAnsi="Times New Roman" w:cs="Times New Roman"/>
          <w:sz w:val="24"/>
          <w:szCs w:val="24"/>
          <w:lang w:eastAsia="it-IT"/>
        </w:rPr>
        <w:t>)</w:t>
      </w:r>
      <w:r w:rsidRPr="00A82C3C">
        <w:rPr>
          <w:rFonts w:ascii="Times New Roman" w:eastAsia="Times New Roman" w:hAnsi="Times New Roman" w:cs="Times New Roman"/>
          <w:sz w:val="24"/>
          <w:szCs w:val="24"/>
          <w:lang w:eastAsia="it-IT"/>
        </w:rPr>
        <w:t xml:space="preserve"> di algebra, geometria ed analisi che prevedono attività di tutorato, svolte da studenti selezionati della LM o da assegn</w:t>
      </w:r>
      <w:r w:rsidR="00A82C3C">
        <w:rPr>
          <w:rFonts w:ascii="Times New Roman" w:eastAsia="Times New Roman" w:hAnsi="Times New Roman" w:cs="Times New Roman"/>
          <w:sz w:val="24"/>
          <w:szCs w:val="24"/>
          <w:lang w:eastAsia="it-IT"/>
        </w:rPr>
        <w:t>i</w:t>
      </w:r>
      <w:r w:rsidRPr="00A82C3C">
        <w:rPr>
          <w:rFonts w:ascii="Times New Roman" w:eastAsia="Times New Roman" w:hAnsi="Times New Roman" w:cs="Times New Roman"/>
          <w:sz w:val="24"/>
          <w:szCs w:val="24"/>
          <w:lang w:eastAsia="it-IT"/>
        </w:rPr>
        <w:t>sti, consistenti nello svolgimento collettivo in aula di esercizi assegnati dai docenti, che naturalmente seguono da vicino tali iniziative. La partecipazione non è ampia, ma i risultati sono buoni, infatti la si replica da alcuni anni.</w:t>
      </w:r>
    </w:p>
    <w:p w:rsidR="00A82C3C" w:rsidRDefault="00A82C3C" w:rsidP="004E38BC">
      <w:pPr>
        <w:spacing w:after="10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Infine</w:t>
      </w:r>
      <w:r w:rsidR="003C0533" w:rsidRPr="003C0533">
        <w:rPr>
          <w:rFonts w:ascii="Times New Roman" w:eastAsia="Times New Roman" w:hAnsi="Times New Roman" w:cs="Times New Roman"/>
          <w:sz w:val="24"/>
          <w:szCs w:val="24"/>
          <w:lang w:eastAsia="it-IT"/>
        </w:rPr>
        <w:t xml:space="preserve"> a ogni studente è assegnato anche un tutore a cui lo studente può rivolgersi per</w:t>
      </w:r>
    </w:p>
    <w:p w:rsidR="00A82C3C" w:rsidRDefault="003C0533" w:rsidP="004E38BC">
      <w:pPr>
        <w:pStyle w:val="Paragrafoelenco"/>
        <w:numPr>
          <w:ilvl w:val="0"/>
          <w:numId w:val="2"/>
        </w:numPr>
        <w:spacing w:after="100" w:line="240" w:lineRule="auto"/>
        <w:jc w:val="both"/>
        <w:rPr>
          <w:rFonts w:ascii="Times New Roman" w:eastAsia="Times New Roman" w:hAnsi="Times New Roman" w:cs="Times New Roman"/>
          <w:sz w:val="24"/>
          <w:szCs w:val="24"/>
          <w:lang w:eastAsia="it-IT"/>
        </w:rPr>
      </w:pPr>
      <w:r w:rsidRPr="00A82C3C">
        <w:rPr>
          <w:rFonts w:ascii="Times New Roman" w:eastAsia="Times New Roman" w:hAnsi="Times New Roman" w:cs="Times New Roman"/>
          <w:sz w:val="24"/>
          <w:szCs w:val="24"/>
          <w:lang w:eastAsia="it-IT"/>
        </w:rPr>
        <w:t>avere informazioni sull’organizzazione del CDL</w:t>
      </w:r>
    </w:p>
    <w:p w:rsidR="00A82C3C" w:rsidRDefault="00A82C3C" w:rsidP="004E38BC">
      <w:pPr>
        <w:pStyle w:val="Paragrafoelenco"/>
        <w:numPr>
          <w:ilvl w:val="0"/>
          <w:numId w:val="2"/>
        </w:numPr>
        <w:spacing w:after="10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avere</w:t>
      </w:r>
      <w:r w:rsidR="003C0533" w:rsidRPr="00A82C3C">
        <w:rPr>
          <w:rFonts w:ascii="Times New Roman" w:eastAsia="Times New Roman" w:hAnsi="Times New Roman" w:cs="Times New Roman"/>
          <w:sz w:val="24"/>
          <w:szCs w:val="24"/>
          <w:lang w:eastAsia="it-IT"/>
        </w:rPr>
        <w:t xml:space="preserve"> consigli su come affrontare lo studio </w:t>
      </w:r>
    </w:p>
    <w:p w:rsidR="00A82C3C" w:rsidRDefault="003C0533" w:rsidP="004E38BC">
      <w:pPr>
        <w:pStyle w:val="Paragrafoelenco"/>
        <w:numPr>
          <w:ilvl w:val="0"/>
          <w:numId w:val="2"/>
        </w:numPr>
        <w:spacing w:after="100" w:line="240" w:lineRule="auto"/>
        <w:jc w:val="both"/>
        <w:rPr>
          <w:rFonts w:ascii="Times New Roman" w:eastAsia="Times New Roman" w:hAnsi="Times New Roman" w:cs="Times New Roman"/>
          <w:sz w:val="24"/>
          <w:szCs w:val="24"/>
          <w:lang w:eastAsia="it-IT"/>
        </w:rPr>
      </w:pPr>
      <w:r w:rsidRPr="00A82C3C">
        <w:rPr>
          <w:rFonts w:ascii="Times New Roman" w:eastAsia="Times New Roman" w:hAnsi="Times New Roman" w:cs="Times New Roman"/>
          <w:sz w:val="24"/>
          <w:szCs w:val="24"/>
          <w:lang w:eastAsia="it-IT"/>
        </w:rPr>
        <w:t xml:space="preserve">preparare il piano di studi. </w:t>
      </w:r>
    </w:p>
    <w:p w:rsidR="003C0533" w:rsidRDefault="004E38BC" w:rsidP="004E38BC">
      <w:pPr>
        <w:spacing w:after="10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A82C3C">
        <w:rPr>
          <w:rFonts w:ascii="Times New Roman" w:eastAsia="Times New Roman" w:hAnsi="Times New Roman" w:cs="Times New Roman"/>
          <w:sz w:val="24"/>
          <w:szCs w:val="24"/>
          <w:lang w:eastAsia="it-IT"/>
        </w:rPr>
        <w:t xml:space="preserve">uesta iniziativa </w:t>
      </w:r>
      <w:r>
        <w:rPr>
          <w:rFonts w:ascii="Times New Roman" w:eastAsia="Times New Roman" w:hAnsi="Times New Roman" w:cs="Times New Roman"/>
          <w:sz w:val="24"/>
          <w:szCs w:val="24"/>
          <w:lang w:eastAsia="it-IT"/>
        </w:rPr>
        <w:t xml:space="preserve">purtroppo </w:t>
      </w:r>
      <w:r w:rsidR="00A82C3C">
        <w:rPr>
          <w:rFonts w:ascii="Times New Roman" w:eastAsia="Times New Roman" w:hAnsi="Times New Roman" w:cs="Times New Roman"/>
          <w:sz w:val="24"/>
          <w:szCs w:val="24"/>
          <w:lang w:eastAsia="it-IT"/>
        </w:rPr>
        <w:t>non riscontra molto successo</w:t>
      </w:r>
      <w:r w:rsidR="003C0533" w:rsidRPr="00A82C3C">
        <w:rPr>
          <w:rFonts w:ascii="Times New Roman" w:eastAsia="Times New Roman" w:hAnsi="Times New Roman" w:cs="Times New Roman"/>
          <w:sz w:val="24"/>
          <w:szCs w:val="24"/>
          <w:lang w:eastAsia="it-IT"/>
        </w:rPr>
        <w:t>.</w:t>
      </w:r>
    </w:p>
    <w:p w:rsidR="004E38BC" w:rsidRDefault="004E38BC" w:rsidP="004E38BC">
      <w:pPr>
        <w:spacing w:after="100" w:line="240" w:lineRule="auto"/>
        <w:jc w:val="both"/>
        <w:rPr>
          <w:rFonts w:ascii="Times New Roman" w:eastAsia="Times New Roman" w:hAnsi="Times New Roman" w:cs="Times New Roman"/>
          <w:sz w:val="24"/>
          <w:szCs w:val="24"/>
          <w:lang w:eastAsia="it-IT"/>
        </w:rPr>
      </w:pPr>
    </w:p>
    <w:p w:rsidR="0038556E" w:rsidRDefault="0038556E" w:rsidP="004E38BC">
      <w:pPr>
        <w:spacing w:after="100" w:line="240" w:lineRule="auto"/>
        <w:jc w:val="both"/>
        <w:rPr>
          <w:rFonts w:ascii="Times New Roman" w:eastAsia="Times New Roman" w:hAnsi="Times New Roman" w:cs="Times New Roman"/>
          <w:sz w:val="24"/>
          <w:szCs w:val="24"/>
          <w:lang w:eastAsia="it-IT"/>
        </w:rPr>
      </w:pPr>
    </w:p>
    <w:p w:rsidR="000F2886" w:rsidRDefault="004E38BC" w:rsidP="004E38BC">
      <w:pPr>
        <w:spacing w:after="10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finire, visto che pare che siamo carenti di informazioni sui dati 2014/15, ti riporto </w:t>
      </w:r>
      <w:r w:rsidR="00E06187">
        <w:rPr>
          <w:rFonts w:ascii="Times New Roman" w:eastAsia="Times New Roman" w:hAnsi="Times New Roman" w:cs="Times New Roman"/>
          <w:sz w:val="24"/>
          <w:szCs w:val="24"/>
          <w:lang w:eastAsia="it-IT"/>
        </w:rPr>
        <w:t>nel seguito</w:t>
      </w:r>
      <w:r>
        <w:rPr>
          <w:rFonts w:ascii="Times New Roman" w:eastAsia="Times New Roman" w:hAnsi="Times New Roman" w:cs="Times New Roman"/>
          <w:sz w:val="24"/>
          <w:szCs w:val="24"/>
          <w:lang w:eastAsia="it-IT"/>
        </w:rPr>
        <w:t xml:space="preserve"> i dati che si possono rilevare in tempo reale dal sito di UNIMI</w:t>
      </w:r>
    </w:p>
    <w:p w:rsidR="004E38BC" w:rsidRPr="00A82C3C" w:rsidRDefault="00433A89" w:rsidP="004E38BC">
      <w:pPr>
        <w:spacing w:after="100" w:line="240" w:lineRule="auto"/>
        <w:jc w:val="both"/>
        <w:rPr>
          <w:rFonts w:ascii="Times New Roman" w:eastAsia="Times New Roman" w:hAnsi="Times New Roman" w:cs="Times New Roman"/>
          <w:sz w:val="24"/>
          <w:szCs w:val="24"/>
          <w:lang w:eastAsia="it-IT"/>
        </w:rPr>
      </w:pPr>
      <w:hyperlink r:id="rId6" w:history="1">
        <w:r w:rsidR="00A42A42" w:rsidRPr="00282F3D">
          <w:rPr>
            <w:rStyle w:val="Collegamentoipertestuale"/>
            <w:rFonts w:ascii="Times New Roman" w:eastAsia="Times New Roman" w:hAnsi="Times New Roman" w:cs="Times New Roman"/>
            <w:sz w:val="24"/>
            <w:szCs w:val="24"/>
            <w:lang w:eastAsia="it-IT"/>
          </w:rPr>
          <w:t>http://www.unimi.it/ateneo/datistat/924.htm</w:t>
        </w:r>
      </w:hyperlink>
      <w:r w:rsidR="00A42A42">
        <w:rPr>
          <w:rFonts w:ascii="Times New Roman" w:eastAsia="Times New Roman" w:hAnsi="Times New Roman" w:cs="Times New Roman"/>
          <w:sz w:val="24"/>
          <w:szCs w:val="24"/>
          <w:lang w:eastAsia="it-IT"/>
        </w:rPr>
        <w:t xml:space="preserve">   </w:t>
      </w:r>
    </w:p>
    <w:p w:rsidR="0038556E" w:rsidRPr="00A42A42" w:rsidRDefault="00A42A42">
      <w:pPr>
        <w:rPr>
          <w:rFonts w:ascii="Times New Roman" w:hAnsi="Times New Roman" w:cs="Times New Roman"/>
        </w:rPr>
      </w:pPr>
      <w:r w:rsidRPr="00A42A42">
        <w:rPr>
          <w:rFonts w:ascii="Times New Roman" w:hAnsi="Times New Roman" w:cs="Times New Roman"/>
        </w:rPr>
        <w:t>Cari saluti</w:t>
      </w:r>
    </w:p>
    <w:p w:rsidR="00A42A42" w:rsidRPr="00A42A42" w:rsidRDefault="00A42A42">
      <w:pPr>
        <w:rPr>
          <w:rFonts w:ascii="Times New Roman" w:hAnsi="Times New Roman" w:cs="Times New Roman"/>
        </w:rPr>
      </w:pPr>
      <w:r w:rsidRPr="00A42A42">
        <w:rPr>
          <w:rFonts w:ascii="Times New Roman" w:hAnsi="Times New Roman" w:cs="Times New Roman"/>
        </w:rPr>
        <w:t>Stefania De Stefano</w:t>
      </w:r>
    </w:p>
    <w:p w:rsidR="00A42A42" w:rsidRDefault="00A42A42">
      <w:r>
        <w:br w:type="page"/>
      </w:r>
    </w:p>
    <w:p w:rsidR="004E38BC" w:rsidRDefault="004E38BC" w:rsidP="004E38BC">
      <w:pPr>
        <w:spacing w:after="120" w:line="240" w:lineRule="auto"/>
        <w:jc w:val="both"/>
      </w:pPr>
    </w:p>
    <w:tbl>
      <w:tblPr>
        <w:tblStyle w:val="Grigliatabella"/>
        <w:tblW w:w="10031" w:type="dxa"/>
        <w:tblLook w:val="04A0" w:firstRow="1" w:lastRow="0" w:firstColumn="1" w:lastColumn="0" w:noHBand="0" w:noVBand="1"/>
      </w:tblPr>
      <w:tblGrid>
        <w:gridCol w:w="810"/>
        <w:gridCol w:w="458"/>
        <w:gridCol w:w="458"/>
        <w:gridCol w:w="551"/>
        <w:gridCol w:w="854"/>
        <w:gridCol w:w="918"/>
        <w:gridCol w:w="1039"/>
        <w:gridCol w:w="1317"/>
        <w:gridCol w:w="1074"/>
        <w:gridCol w:w="606"/>
        <w:gridCol w:w="1946"/>
      </w:tblGrid>
      <w:tr w:rsidR="0038556E" w:rsidTr="0038556E">
        <w:tc>
          <w:tcPr>
            <w:tcW w:w="810" w:type="dxa"/>
          </w:tcPr>
          <w:p w:rsidR="0038556E" w:rsidRDefault="0038556E" w:rsidP="004E38BC">
            <w:pPr>
              <w:spacing w:after="120"/>
              <w:jc w:val="both"/>
            </w:pPr>
            <w:r>
              <w:t>Alla data</w:t>
            </w:r>
          </w:p>
        </w:tc>
        <w:tc>
          <w:tcPr>
            <w:tcW w:w="1467" w:type="dxa"/>
            <w:gridSpan w:val="3"/>
          </w:tcPr>
          <w:p w:rsidR="0038556E" w:rsidRDefault="0038556E" w:rsidP="004E38BC">
            <w:pPr>
              <w:spacing w:after="120"/>
              <w:jc w:val="both"/>
            </w:pPr>
            <w:r>
              <w:t>Immatricolati puri</w:t>
            </w:r>
          </w:p>
        </w:tc>
        <w:tc>
          <w:tcPr>
            <w:tcW w:w="854" w:type="dxa"/>
          </w:tcPr>
          <w:p w:rsidR="0038556E" w:rsidRDefault="0038556E" w:rsidP="0038556E">
            <w:pPr>
              <w:spacing w:after="120"/>
              <w:jc w:val="both"/>
            </w:pPr>
            <w:r>
              <w:t xml:space="preserve">Fascia età </w:t>
            </w:r>
          </w:p>
        </w:tc>
        <w:tc>
          <w:tcPr>
            <w:tcW w:w="918" w:type="dxa"/>
          </w:tcPr>
          <w:p w:rsidR="0038556E" w:rsidRDefault="0038556E" w:rsidP="004E38BC">
            <w:pPr>
              <w:spacing w:after="120"/>
              <w:jc w:val="both"/>
            </w:pPr>
            <w:r>
              <w:t>Extra regione</w:t>
            </w:r>
          </w:p>
        </w:tc>
        <w:tc>
          <w:tcPr>
            <w:tcW w:w="1039" w:type="dxa"/>
          </w:tcPr>
          <w:p w:rsidR="0038556E" w:rsidRDefault="0038556E" w:rsidP="004E38BC">
            <w:pPr>
              <w:spacing w:after="120"/>
              <w:jc w:val="both"/>
            </w:pPr>
            <w:r>
              <w:t>Entro la provincia</w:t>
            </w:r>
          </w:p>
        </w:tc>
        <w:tc>
          <w:tcPr>
            <w:tcW w:w="1317" w:type="dxa"/>
          </w:tcPr>
          <w:p w:rsidR="0038556E" w:rsidRDefault="0038556E" w:rsidP="004E38BC">
            <w:pPr>
              <w:spacing w:after="120"/>
              <w:jc w:val="both"/>
            </w:pPr>
            <w:r>
              <w:t>Scuola provenienza</w:t>
            </w:r>
          </w:p>
        </w:tc>
        <w:tc>
          <w:tcPr>
            <w:tcW w:w="1680" w:type="dxa"/>
            <w:gridSpan w:val="2"/>
          </w:tcPr>
          <w:p w:rsidR="0038556E" w:rsidRDefault="0038556E" w:rsidP="0038556E">
            <w:pPr>
              <w:spacing w:after="120"/>
            </w:pPr>
            <w:r>
              <w:t>Punteggi di maturità</w:t>
            </w:r>
          </w:p>
        </w:tc>
        <w:tc>
          <w:tcPr>
            <w:tcW w:w="1946" w:type="dxa"/>
          </w:tcPr>
          <w:p w:rsidR="0038556E" w:rsidRDefault="0038556E" w:rsidP="004E38BC">
            <w:pPr>
              <w:spacing w:after="120"/>
              <w:jc w:val="both"/>
            </w:pPr>
            <w:r>
              <w:t>Variazione rispetto alla stessa data dello scorso anno</w:t>
            </w:r>
          </w:p>
        </w:tc>
      </w:tr>
      <w:tr w:rsidR="0038556E" w:rsidTr="0038556E">
        <w:tc>
          <w:tcPr>
            <w:tcW w:w="810" w:type="dxa"/>
          </w:tcPr>
          <w:p w:rsidR="0038556E" w:rsidRDefault="0038556E" w:rsidP="004E38BC">
            <w:pPr>
              <w:spacing w:after="120"/>
              <w:jc w:val="both"/>
            </w:pPr>
          </w:p>
        </w:tc>
        <w:tc>
          <w:tcPr>
            <w:tcW w:w="458" w:type="dxa"/>
          </w:tcPr>
          <w:p w:rsidR="0038556E" w:rsidRDefault="0038556E" w:rsidP="004E38BC">
            <w:pPr>
              <w:spacing w:after="120"/>
              <w:jc w:val="both"/>
            </w:pPr>
            <w:r>
              <w:t>M</w:t>
            </w:r>
          </w:p>
        </w:tc>
        <w:tc>
          <w:tcPr>
            <w:tcW w:w="458" w:type="dxa"/>
          </w:tcPr>
          <w:p w:rsidR="0038556E" w:rsidRDefault="0038556E" w:rsidP="004E38BC">
            <w:pPr>
              <w:spacing w:after="120"/>
              <w:jc w:val="both"/>
            </w:pPr>
            <w:r>
              <w:t>F</w:t>
            </w:r>
          </w:p>
        </w:tc>
        <w:tc>
          <w:tcPr>
            <w:tcW w:w="551" w:type="dxa"/>
          </w:tcPr>
          <w:p w:rsidR="0038556E" w:rsidRDefault="0038556E" w:rsidP="004E38BC">
            <w:pPr>
              <w:spacing w:after="120"/>
              <w:jc w:val="both"/>
            </w:pPr>
            <w:r>
              <w:t>tot</w:t>
            </w:r>
          </w:p>
        </w:tc>
        <w:tc>
          <w:tcPr>
            <w:tcW w:w="854" w:type="dxa"/>
          </w:tcPr>
          <w:p w:rsidR="0038556E" w:rsidRDefault="0038556E" w:rsidP="004E38BC">
            <w:pPr>
              <w:spacing w:after="120"/>
              <w:jc w:val="both"/>
            </w:pPr>
            <w:r>
              <w:t>19-21</w:t>
            </w:r>
          </w:p>
        </w:tc>
        <w:tc>
          <w:tcPr>
            <w:tcW w:w="918" w:type="dxa"/>
          </w:tcPr>
          <w:p w:rsidR="0038556E" w:rsidRDefault="0038556E" w:rsidP="004E38BC">
            <w:pPr>
              <w:spacing w:after="120"/>
              <w:jc w:val="both"/>
            </w:pPr>
          </w:p>
        </w:tc>
        <w:tc>
          <w:tcPr>
            <w:tcW w:w="1039" w:type="dxa"/>
          </w:tcPr>
          <w:p w:rsidR="0038556E" w:rsidRDefault="0038556E" w:rsidP="004E38BC">
            <w:pPr>
              <w:spacing w:after="120"/>
              <w:jc w:val="both"/>
            </w:pPr>
          </w:p>
        </w:tc>
        <w:tc>
          <w:tcPr>
            <w:tcW w:w="1317" w:type="dxa"/>
          </w:tcPr>
          <w:p w:rsidR="0038556E" w:rsidRDefault="0038556E" w:rsidP="004E38BC">
            <w:pPr>
              <w:spacing w:after="120"/>
              <w:jc w:val="both"/>
            </w:pPr>
            <w:r>
              <w:t>Class/</w:t>
            </w:r>
            <w:proofErr w:type="spellStart"/>
            <w:r>
              <w:t>Scient</w:t>
            </w:r>
            <w:proofErr w:type="spellEnd"/>
          </w:p>
        </w:tc>
        <w:tc>
          <w:tcPr>
            <w:tcW w:w="1074" w:type="dxa"/>
          </w:tcPr>
          <w:p w:rsidR="0038556E" w:rsidRDefault="0038556E" w:rsidP="0038556E">
            <w:pPr>
              <w:spacing w:after="120"/>
              <w:jc w:val="both"/>
            </w:pPr>
            <w:r>
              <w:t>80&lt;V&lt; 89</w:t>
            </w:r>
          </w:p>
        </w:tc>
        <w:tc>
          <w:tcPr>
            <w:tcW w:w="606" w:type="dxa"/>
          </w:tcPr>
          <w:p w:rsidR="0038556E" w:rsidRDefault="0038556E" w:rsidP="004E38BC">
            <w:pPr>
              <w:spacing w:after="120"/>
              <w:jc w:val="both"/>
            </w:pPr>
            <w:r>
              <w:t>&gt;89</w:t>
            </w:r>
          </w:p>
        </w:tc>
        <w:tc>
          <w:tcPr>
            <w:tcW w:w="1946" w:type="dxa"/>
          </w:tcPr>
          <w:p w:rsidR="0038556E" w:rsidRDefault="0038556E" w:rsidP="004E38BC">
            <w:pPr>
              <w:spacing w:after="120"/>
              <w:jc w:val="both"/>
            </w:pPr>
          </w:p>
        </w:tc>
      </w:tr>
      <w:tr w:rsidR="0038556E" w:rsidTr="0038556E">
        <w:tc>
          <w:tcPr>
            <w:tcW w:w="810" w:type="dxa"/>
          </w:tcPr>
          <w:p w:rsidR="0038556E" w:rsidRDefault="0038556E" w:rsidP="004E38BC">
            <w:pPr>
              <w:spacing w:after="120"/>
              <w:jc w:val="both"/>
            </w:pPr>
            <w:r>
              <w:t>23/4</w:t>
            </w:r>
          </w:p>
        </w:tc>
        <w:tc>
          <w:tcPr>
            <w:tcW w:w="458" w:type="dxa"/>
          </w:tcPr>
          <w:p w:rsidR="0038556E" w:rsidRDefault="0038556E" w:rsidP="004E38BC">
            <w:pPr>
              <w:spacing w:after="120"/>
              <w:jc w:val="both"/>
            </w:pPr>
            <w:r>
              <w:t>94</w:t>
            </w:r>
          </w:p>
        </w:tc>
        <w:tc>
          <w:tcPr>
            <w:tcW w:w="458" w:type="dxa"/>
          </w:tcPr>
          <w:p w:rsidR="0038556E" w:rsidRDefault="0038556E" w:rsidP="004E38BC">
            <w:pPr>
              <w:spacing w:after="120"/>
              <w:jc w:val="both"/>
            </w:pPr>
            <w:r>
              <w:t>57</w:t>
            </w:r>
          </w:p>
        </w:tc>
        <w:tc>
          <w:tcPr>
            <w:tcW w:w="551" w:type="dxa"/>
          </w:tcPr>
          <w:p w:rsidR="0038556E" w:rsidRDefault="0038556E" w:rsidP="004E38BC">
            <w:pPr>
              <w:spacing w:after="120"/>
              <w:jc w:val="both"/>
            </w:pPr>
            <w:r>
              <w:t>151</w:t>
            </w:r>
          </w:p>
        </w:tc>
        <w:tc>
          <w:tcPr>
            <w:tcW w:w="854" w:type="dxa"/>
          </w:tcPr>
          <w:p w:rsidR="0038556E" w:rsidRDefault="0038556E" w:rsidP="004E38BC">
            <w:pPr>
              <w:spacing w:after="120"/>
              <w:jc w:val="both"/>
            </w:pPr>
            <w:r>
              <w:t>134</w:t>
            </w:r>
          </w:p>
        </w:tc>
        <w:tc>
          <w:tcPr>
            <w:tcW w:w="918" w:type="dxa"/>
          </w:tcPr>
          <w:p w:rsidR="0038556E" w:rsidRDefault="0038556E" w:rsidP="004E38BC">
            <w:pPr>
              <w:spacing w:after="120"/>
              <w:jc w:val="both"/>
            </w:pPr>
            <w:r>
              <w:t>21</w:t>
            </w:r>
          </w:p>
        </w:tc>
        <w:tc>
          <w:tcPr>
            <w:tcW w:w="1039" w:type="dxa"/>
          </w:tcPr>
          <w:p w:rsidR="0038556E" w:rsidRDefault="0038556E" w:rsidP="004E38BC">
            <w:pPr>
              <w:spacing w:after="120"/>
              <w:jc w:val="both"/>
            </w:pPr>
            <w:r>
              <w:t>71</w:t>
            </w:r>
          </w:p>
        </w:tc>
        <w:tc>
          <w:tcPr>
            <w:tcW w:w="1317" w:type="dxa"/>
          </w:tcPr>
          <w:p w:rsidR="0038556E" w:rsidRDefault="0038556E" w:rsidP="004E38BC">
            <w:pPr>
              <w:spacing w:after="120"/>
              <w:jc w:val="both"/>
            </w:pPr>
            <w:r>
              <w:t>118</w:t>
            </w:r>
          </w:p>
        </w:tc>
        <w:tc>
          <w:tcPr>
            <w:tcW w:w="1074" w:type="dxa"/>
          </w:tcPr>
          <w:p w:rsidR="0038556E" w:rsidRDefault="0038556E" w:rsidP="004E38BC">
            <w:pPr>
              <w:spacing w:after="120"/>
              <w:jc w:val="both"/>
            </w:pPr>
            <w:r>
              <w:t>30%</w:t>
            </w:r>
          </w:p>
        </w:tc>
        <w:tc>
          <w:tcPr>
            <w:tcW w:w="606" w:type="dxa"/>
          </w:tcPr>
          <w:p w:rsidR="0038556E" w:rsidRDefault="0038556E" w:rsidP="004E38BC">
            <w:pPr>
              <w:spacing w:after="120"/>
              <w:jc w:val="both"/>
            </w:pPr>
            <w:r>
              <w:t>33%</w:t>
            </w:r>
          </w:p>
        </w:tc>
        <w:tc>
          <w:tcPr>
            <w:tcW w:w="1946" w:type="dxa"/>
          </w:tcPr>
          <w:p w:rsidR="0038556E" w:rsidRDefault="0038556E" w:rsidP="004E38BC">
            <w:pPr>
              <w:spacing w:after="120"/>
              <w:jc w:val="both"/>
            </w:pPr>
            <w:r>
              <w:t>0%</w:t>
            </w:r>
          </w:p>
        </w:tc>
      </w:tr>
      <w:tr w:rsidR="0038556E" w:rsidTr="0038556E">
        <w:tc>
          <w:tcPr>
            <w:tcW w:w="810" w:type="dxa"/>
          </w:tcPr>
          <w:p w:rsidR="0038556E" w:rsidRDefault="0038556E" w:rsidP="004E38BC">
            <w:pPr>
              <w:spacing w:after="120"/>
              <w:jc w:val="both"/>
            </w:pPr>
            <w:r>
              <w:t>20/5</w:t>
            </w:r>
          </w:p>
        </w:tc>
        <w:tc>
          <w:tcPr>
            <w:tcW w:w="458" w:type="dxa"/>
          </w:tcPr>
          <w:p w:rsidR="0038556E" w:rsidRDefault="0038556E" w:rsidP="004E38BC">
            <w:pPr>
              <w:spacing w:after="120"/>
              <w:jc w:val="both"/>
            </w:pPr>
            <w:r>
              <w:t>92</w:t>
            </w:r>
          </w:p>
        </w:tc>
        <w:tc>
          <w:tcPr>
            <w:tcW w:w="458" w:type="dxa"/>
          </w:tcPr>
          <w:p w:rsidR="0038556E" w:rsidRDefault="0038556E" w:rsidP="004E38BC">
            <w:pPr>
              <w:spacing w:after="120"/>
              <w:jc w:val="both"/>
            </w:pPr>
            <w:r>
              <w:t>50</w:t>
            </w:r>
          </w:p>
        </w:tc>
        <w:tc>
          <w:tcPr>
            <w:tcW w:w="551" w:type="dxa"/>
          </w:tcPr>
          <w:p w:rsidR="0038556E" w:rsidRDefault="0038556E" w:rsidP="004E38BC">
            <w:pPr>
              <w:spacing w:after="120"/>
              <w:jc w:val="both"/>
            </w:pPr>
            <w:r>
              <w:t>142</w:t>
            </w:r>
          </w:p>
        </w:tc>
        <w:tc>
          <w:tcPr>
            <w:tcW w:w="854" w:type="dxa"/>
          </w:tcPr>
          <w:p w:rsidR="0038556E" w:rsidRDefault="0038556E" w:rsidP="004E38BC">
            <w:pPr>
              <w:spacing w:after="120"/>
              <w:jc w:val="both"/>
            </w:pPr>
            <w:r>
              <w:t>126</w:t>
            </w:r>
          </w:p>
        </w:tc>
        <w:tc>
          <w:tcPr>
            <w:tcW w:w="918" w:type="dxa"/>
          </w:tcPr>
          <w:p w:rsidR="0038556E" w:rsidRDefault="0038556E" w:rsidP="004E38BC">
            <w:pPr>
              <w:spacing w:after="120"/>
              <w:jc w:val="both"/>
            </w:pPr>
            <w:r>
              <w:t>17</w:t>
            </w:r>
          </w:p>
        </w:tc>
        <w:tc>
          <w:tcPr>
            <w:tcW w:w="1039" w:type="dxa"/>
          </w:tcPr>
          <w:p w:rsidR="0038556E" w:rsidRDefault="0038556E" w:rsidP="004E38BC">
            <w:pPr>
              <w:spacing w:after="120"/>
              <w:jc w:val="both"/>
            </w:pPr>
            <w:r>
              <w:t>66</w:t>
            </w:r>
          </w:p>
        </w:tc>
        <w:tc>
          <w:tcPr>
            <w:tcW w:w="1317" w:type="dxa"/>
          </w:tcPr>
          <w:p w:rsidR="0038556E" w:rsidRDefault="0038556E" w:rsidP="004E38BC">
            <w:pPr>
              <w:spacing w:after="120"/>
              <w:jc w:val="both"/>
            </w:pPr>
            <w:r>
              <w:t>113</w:t>
            </w:r>
          </w:p>
        </w:tc>
        <w:tc>
          <w:tcPr>
            <w:tcW w:w="1074" w:type="dxa"/>
          </w:tcPr>
          <w:p w:rsidR="0038556E" w:rsidRDefault="0038556E" w:rsidP="004E38BC">
            <w:pPr>
              <w:spacing w:after="120"/>
              <w:jc w:val="both"/>
            </w:pPr>
            <w:r>
              <w:t>30%</w:t>
            </w:r>
          </w:p>
        </w:tc>
        <w:tc>
          <w:tcPr>
            <w:tcW w:w="606" w:type="dxa"/>
          </w:tcPr>
          <w:p w:rsidR="0038556E" w:rsidRDefault="0038556E" w:rsidP="004E38BC">
            <w:pPr>
              <w:spacing w:after="120"/>
              <w:jc w:val="both"/>
            </w:pPr>
            <w:r>
              <w:t>33%</w:t>
            </w:r>
          </w:p>
        </w:tc>
        <w:tc>
          <w:tcPr>
            <w:tcW w:w="1946" w:type="dxa"/>
          </w:tcPr>
          <w:p w:rsidR="0038556E" w:rsidRDefault="0038556E" w:rsidP="004E38BC">
            <w:pPr>
              <w:spacing w:after="120"/>
              <w:jc w:val="both"/>
            </w:pPr>
            <w:r>
              <w:t>+3%</w:t>
            </w:r>
          </w:p>
        </w:tc>
      </w:tr>
    </w:tbl>
    <w:p w:rsidR="000F2886" w:rsidRDefault="0038556E" w:rsidP="004E38BC">
      <w:pPr>
        <w:spacing w:after="120" w:line="240" w:lineRule="auto"/>
        <w:jc w:val="both"/>
      </w:pPr>
      <w:r>
        <w:t xml:space="preserve">A un’occhiata superficiale sembra che i cali nel corso del mese (che si possono far risalire o a rinunce esplicite o </w:t>
      </w:r>
      <w:r w:rsidR="00626DA8">
        <w:t xml:space="preserve">a mancato pagamento della seconda rata della tassa di iscrizione) </w:t>
      </w:r>
      <w:r>
        <w:t>siano omogeneamente spalmati sulle varie tipologie</w:t>
      </w:r>
      <w:r w:rsidR="00A42A42">
        <w:t>: il che rende abbastanza difficile capire le cause degli abbandoni</w:t>
      </w:r>
    </w:p>
    <w:p w:rsidR="0038556E" w:rsidRDefault="0038556E" w:rsidP="004E38BC">
      <w:pPr>
        <w:spacing w:after="120" w:line="240" w:lineRule="auto"/>
        <w:jc w:val="both"/>
      </w:pPr>
    </w:p>
    <w:p w:rsidR="000F2886" w:rsidRDefault="00E06187" w:rsidP="004E38BC">
      <w:pPr>
        <w:spacing w:after="120" w:line="240" w:lineRule="auto"/>
        <w:jc w:val="both"/>
      </w:pPr>
      <w:r>
        <w:t xml:space="preserve">Io ai test 2014-15 ho visto 152 studenti di Matematica (di cui 15 hanno risposto correttamente a meno di 12 su 25 domande di </w:t>
      </w:r>
      <w:proofErr w:type="spellStart"/>
      <w:r>
        <w:t>Mat_Base</w:t>
      </w:r>
      <w:proofErr w:type="spellEnd"/>
      <w:r>
        <w:t xml:space="preserve">); 7 non hanno sostenuto il test (ma probabilmente sono silenti) 8 erano iscritti ma si sono trasferiti o hanno cessato la carriera nei primissimi mesi; quindi pressappoco questo grafico dovrebbe essere sensato </w:t>
      </w:r>
    </w:p>
    <w:p w:rsidR="004E38BC" w:rsidRPr="00911AE2" w:rsidRDefault="004E38BC" w:rsidP="004E38BC">
      <w:pPr>
        <w:spacing w:after="120" w:line="240" w:lineRule="auto"/>
        <w:jc w:val="both"/>
        <w:rPr>
          <w:rFonts w:ascii="Times New Roman" w:eastAsia="Times New Roman" w:hAnsi="Times New Roman" w:cs="Times New Roman"/>
          <w:sz w:val="24"/>
          <w:szCs w:val="24"/>
          <w:lang w:eastAsia="it-IT"/>
        </w:rPr>
      </w:pPr>
      <w:r>
        <w:rPr>
          <w:noProof/>
          <w:lang w:eastAsia="it-IT"/>
        </w:rPr>
        <w:drawing>
          <wp:inline distT="0" distB="0" distL="0" distR="0" wp14:anchorId="55B2151F" wp14:editId="2BE130E3">
            <wp:extent cx="4572000" cy="2743200"/>
            <wp:effectExtent l="0" t="0" r="19050" b="1905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86A70" w:rsidRDefault="00E86A70"/>
    <w:sectPr w:rsidR="00E86A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4828"/>
    <w:multiLevelType w:val="hybridMultilevel"/>
    <w:tmpl w:val="D7BA9090"/>
    <w:lvl w:ilvl="0" w:tplc="5A248F76">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554E607F"/>
    <w:multiLevelType w:val="hybridMultilevel"/>
    <w:tmpl w:val="079A0A86"/>
    <w:lvl w:ilvl="0" w:tplc="5A248F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33"/>
    <w:rsid w:val="000F2886"/>
    <w:rsid w:val="0038556E"/>
    <w:rsid w:val="003C0533"/>
    <w:rsid w:val="00433A89"/>
    <w:rsid w:val="004E38BC"/>
    <w:rsid w:val="00553071"/>
    <w:rsid w:val="00626DA8"/>
    <w:rsid w:val="00A42A42"/>
    <w:rsid w:val="00A82C3C"/>
    <w:rsid w:val="00E06187"/>
    <w:rsid w:val="00E86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071"/>
    <w:pPr>
      <w:ind w:left="720"/>
      <w:contextualSpacing/>
    </w:pPr>
  </w:style>
  <w:style w:type="character" w:styleId="Collegamentoipertestuale">
    <w:name w:val="Hyperlink"/>
    <w:basedOn w:val="Carpredefinitoparagrafo"/>
    <w:uiPriority w:val="99"/>
    <w:unhideWhenUsed/>
    <w:rsid w:val="004E38BC"/>
    <w:rPr>
      <w:color w:val="0000FF"/>
      <w:u w:val="single"/>
    </w:rPr>
  </w:style>
  <w:style w:type="paragraph" w:styleId="Testofumetto">
    <w:name w:val="Balloon Text"/>
    <w:basedOn w:val="Normale"/>
    <w:link w:val="TestofumettoCarattere"/>
    <w:uiPriority w:val="99"/>
    <w:semiHidden/>
    <w:unhideWhenUsed/>
    <w:rsid w:val="004E38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8BC"/>
    <w:rPr>
      <w:rFonts w:ascii="Tahoma" w:hAnsi="Tahoma" w:cs="Tahoma"/>
      <w:sz w:val="16"/>
      <w:szCs w:val="16"/>
    </w:rPr>
  </w:style>
  <w:style w:type="character" w:styleId="Collegamentovisitato">
    <w:name w:val="FollowedHyperlink"/>
    <w:basedOn w:val="Carpredefinitoparagrafo"/>
    <w:uiPriority w:val="99"/>
    <w:semiHidden/>
    <w:unhideWhenUsed/>
    <w:rsid w:val="004E38BC"/>
    <w:rPr>
      <w:color w:val="800080" w:themeColor="followedHyperlink"/>
      <w:u w:val="single"/>
    </w:rPr>
  </w:style>
  <w:style w:type="table" w:styleId="Grigliatabella">
    <w:name w:val="Table Grid"/>
    <w:basedOn w:val="Tabellanormale"/>
    <w:uiPriority w:val="59"/>
    <w:rsid w:val="00E0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071"/>
    <w:pPr>
      <w:ind w:left="720"/>
      <w:contextualSpacing/>
    </w:pPr>
  </w:style>
  <w:style w:type="character" w:styleId="Collegamentoipertestuale">
    <w:name w:val="Hyperlink"/>
    <w:basedOn w:val="Carpredefinitoparagrafo"/>
    <w:uiPriority w:val="99"/>
    <w:unhideWhenUsed/>
    <w:rsid w:val="004E38BC"/>
    <w:rPr>
      <w:color w:val="0000FF"/>
      <w:u w:val="single"/>
    </w:rPr>
  </w:style>
  <w:style w:type="paragraph" w:styleId="Testofumetto">
    <w:name w:val="Balloon Text"/>
    <w:basedOn w:val="Normale"/>
    <w:link w:val="TestofumettoCarattere"/>
    <w:uiPriority w:val="99"/>
    <w:semiHidden/>
    <w:unhideWhenUsed/>
    <w:rsid w:val="004E38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8BC"/>
    <w:rPr>
      <w:rFonts w:ascii="Tahoma" w:hAnsi="Tahoma" w:cs="Tahoma"/>
      <w:sz w:val="16"/>
      <w:szCs w:val="16"/>
    </w:rPr>
  </w:style>
  <w:style w:type="character" w:styleId="Collegamentovisitato">
    <w:name w:val="FollowedHyperlink"/>
    <w:basedOn w:val="Carpredefinitoparagrafo"/>
    <w:uiPriority w:val="99"/>
    <w:semiHidden/>
    <w:unhideWhenUsed/>
    <w:rsid w:val="004E38BC"/>
    <w:rPr>
      <w:color w:val="800080" w:themeColor="followedHyperlink"/>
      <w:u w:val="single"/>
    </w:rPr>
  </w:style>
  <w:style w:type="table" w:styleId="Grigliatabella">
    <w:name w:val="Table Grid"/>
    <w:basedOn w:val="Tabellanormale"/>
    <w:uiPriority w:val="59"/>
    <w:rsid w:val="00E0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129506">
      <w:bodyDiv w:val="1"/>
      <w:marLeft w:val="0"/>
      <w:marRight w:val="0"/>
      <w:marTop w:val="0"/>
      <w:marBottom w:val="0"/>
      <w:divBdr>
        <w:top w:val="none" w:sz="0" w:space="0" w:color="auto"/>
        <w:left w:val="none" w:sz="0" w:space="0" w:color="auto"/>
        <w:bottom w:val="none" w:sz="0" w:space="0" w:color="auto"/>
        <w:right w:val="none" w:sz="0" w:space="0" w:color="auto"/>
      </w:divBdr>
      <w:divsChild>
        <w:div w:id="20402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930871">
              <w:marLeft w:val="0"/>
              <w:marRight w:val="0"/>
              <w:marTop w:val="0"/>
              <w:marBottom w:val="0"/>
              <w:divBdr>
                <w:top w:val="none" w:sz="0" w:space="0" w:color="auto"/>
                <w:left w:val="none" w:sz="0" w:space="0" w:color="auto"/>
                <w:bottom w:val="none" w:sz="0" w:space="0" w:color="auto"/>
                <w:right w:val="none" w:sz="0" w:space="0" w:color="auto"/>
              </w:divBdr>
            </w:div>
            <w:div w:id="1616869657">
              <w:marLeft w:val="0"/>
              <w:marRight w:val="0"/>
              <w:marTop w:val="0"/>
              <w:marBottom w:val="0"/>
              <w:divBdr>
                <w:top w:val="none" w:sz="0" w:space="0" w:color="auto"/>
                <w:left w:val="none" w:sz="0" w:space="0" w:color="auto"/>
                <w:bottom w:val="none" w:sz="0" w:space="0" w:color="auto"/>
                <w:right w:val="none" w:sz="0" w:space="0" w:color="auto"/>
              </w:divBdr>
            </w:div>
            <w:div w:id="1417745519">
              <w:marLeft w:val="0"/>
              <w:marRight w:val="0"/>
              <w:marTop w:val="0"/>
              <w:marBottom w:val="0"/>
              <w:divBdr>
                <w:top w:val="none" w:sz="0" w:space="0" w:color="auto"/>
                <w:left w:val="none" w:sz="0" w:space="0" w:color="auto"/>
                <w:bottom w:val="none" w:sz="0" w:space="0" w:color="auto"/>
                <w:right w:val="none" w:sz="0" w:space="0" w:color="auto"/>
              </w:divBdr>
            </w:div>
            <w:div w:id="43145354">
              <w:marLeft w:val="0"/>
              <w:marRight w:val="0"/>
              <w:marTop w:val="0"/>
              <w:marBottom w:val="0"/>
              <w:divBdr>
                <w:top w:val="none" w:sz="0" w:space="0" w:color="auto"/>
                <w:left w:val="none" w:sz="0" w:space="0" w:color="auto"/>
                <w:bottom w:val="none" w:sz="0" w:space="0" w:color="auto"/>
                <w:right w:val="none" w:sz="0" w:space="0" w:color="auto"/>
              </w:divBdr>
            </w:div>
            <w:div w:id="954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mi.it/ateneo/datistat/924.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000"/>
              <a:t>numero studenti immatricolati a Matematica UNIMI, dal 2001</a:t>
            </a:r>
          </a:p>
        </c:rich>
      </c:tx>
      <c:overlay val="0"/>
    </c:title>
    <c:autoTitleDeleted val="0"/>
    <c:plotArea>
      <c:layout/>
      <c:lineChart>
        <c:grouping val="standard"/>
        <c:varyColors val="0"/>
        <c:ser>
          <c:idx val="0"/>
          <c:order val="0"/>
          <c:marker>
            <c:symbol val="none"/>
          </c:marker>
          <c:dLbls>
            <c:dLblPos val="ctr"/>
            <c:showLegendKey val="0"/>
            <c:showVal val="1"/>
            <c:showCatName val="0"/>
            <c:showSerName val="0"/>
            <c:showPercent val="0"/>
            <c:showBubbleSize val="0"/>
            <c:showLeaderLines val="0"/>
          </c:dLbls>
          <c:val>
            <c:numRef>
              <c:f>Foglio1!$A$2:$N$2</c:f>
              <c:numCache>
                <c:formatCode>General</c:formatCode>
                <c:ptCount val="14"/>
                <c:pt idx="0">
                  <c:v>62</c:v>
                </c:pt>
                <c:pt idx="1">
                  <c:v>68</c:v>
                </c:pt>
                <c:pt idx="2">
                  <c:v>92</c:v>
                </c:pt>
                <c:pt idx="3">
                  <c:v>94</c:v>
                </c:pt>
                <c:pt idx="4">
                  <c:v>127</c:v>
                </c:pt>
                <c:pt idx="5">
                  <c:v>143</c:v>
                </c:pt>
                <c:pt idx="6">
                  <c:v>173</c:v>
                </c:pt>
                <c:pt idx="7">
                  <c:v>178</c:v>
                </c:pt>
                <c:pt idx="8">
                  <c:v>183</c:v>
                </c:pt>
                <c:pt idx="9">
                  <c:v>169</c:v>
                </c:pt>
                <c:pt idx="10">
                  <c:v>170</c:v>
                </c:pt>
                <c:pt idx="11">
                  <c:v>185</c:v>
                </c:pt>
                <c:pt idx="12">
                  <c:v>156</c:v>
                </c:pt>
                <c:pt idx="13">
                  <c:v>151</c:v>
                </c:pt>
              </c:numCache>
            </c:numRef>
          </c:val>
          <c:smooth val="0"/>
        </c:ser>
        <c:dLbls>
          <c:showLegendKey val="0"/>
          <c:showVal val="1"/>
          <c:showCatName val="0"/>
          <c:showSerName val="0"/>
          <c:showPercent val="0"/>
          <c:showBubbleSize val="0"/>
        </c:dLbls>
        <c:marker val="1"/>
        <c:smooth val="0"/>
        <c:axId val="91162496"/>
        <c:axId val="136156288"/>
      </c:lineChart>
      <c:catAx>
        <c:axId val="91162496"/>
        <c:scaling>
          <c:orientation val="minMax"/>
        </c:scaling>
        <c:delete val="0"/>
        <c:axPos val="b"/>
        <c:majorGridlines/>
        <c:title>
          <c:tx>
            <c:rich>
              <a:bodyPr/>
              <a:lstStyle/>
              <a:p>
                <a:pPr>
                  <a:defRPr/>
                </a:pPr>
                <a:r>
                  <a:rPr lang="it-IT"/>
                  <a:t>anno</a:t>
                </a:r>
              </a:p>
            </c:rich>
          </c:tx>
          <c:overlay val="0"/>
        </c:title>
        <c:majorTickMark val="none"/>
        <c:minorTickMark val="none"/>
        <c:tickLblPos val="nextTo"/>
        <c:crossAx val="136156288"/>
        <c:crosses val="autoZero"/>
        <c:auto val="1"/>
        <c:lblAlgn val="ctr"/>
        <c:lblOffset val="100"/>
        <c:noMultiLvlLbl val="0"/>
      </c:catAx>
      <c:valAx>
        <c:axId val="136156288"/>
        <c:scaling>
          <c:orientation val="minMax"/>
        </c:scaling>
        <c:delete val="0"/>
        <c:axPos val="l"/>
        <c:majorGridlines/>
        <c:title>
          <c:tx>
            <c:rich>
              <a:bodyPr rot="-5400000" vert="horz"/>
              <a:lstStyle/>
              <a:p>
                <a:pPr>
                  <a:defRPr/>
                </a:pPr>
                <a:r>
                  <a:rPr lang="it-IT"/>
                  <a:t>numeri</a:t>
                </a:r>
              </a:p>
            </c:rich>
          </c:tx>
          <c:overlay val="0"/>
        </c:title>
        <c:numFmt formatCode="General" sourceLinked="1"/>
        <c:majorTickMark val="out"/>
        <c:minorTickMark val="none"/>
        <c:tickLblPos val="nextTo"/>
        <c:crossAx val="91162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591</Words>
  <Characters>3370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Universita degli Studi di Milano</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Stefano</dc:creator>
  <cp:keywords/>
  <dc:description/>
  <cp:lastModifiedBy>Stefania De Stefano</cp:lastModifiedBy>
  <cp:revision>4</cp:revision>
  <dcterms:created xsi:type="dcterms:W3CDTF">2015-05-18T08:55:00Z</dcterms:created>
  <dcterms:modified xsi:type="dcterms:W3CDTF">2015-05-20T10:01:00Z</dcterms:modified>
</cp:coreProperties>
</file>